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65608" w14:textId="32C92D0C" w:rsidR="00F076DF" w:rsidRPr="00F35AC4" w:rsidRDefault="00F076DF" w:rsidP="00F076DF">
      <w:pPr>
        <w:tabs>
          <w:tab w:val="left" w:pos="1985"/>
          <w:tab w:val="left" w:pos="7920"/>
        </w:tabs>
        <w:spacing w:after="0"/>
        <w:jc w:val="both"/>
        <w:rPr>
          <w:rFonts w:ascii="Arial" w:eastAsia="Malgun Gothic" w:hAnsi="Arial" w:cs="Arial"/>
          <w:b/>
          <w:sz w:val="24"/>
        </w:rPr>
      </w:pPr>
      <w:r w:rsidRPr="00F35AC4">
        <w:rPr>
          <w:rFonts w:ascii="Arial" w:eastAsia="Malgun Gothic" w:hAnsi="Arial" w:cs="Arial"/>
          <w:b/>
          <w:sz w:val="24"/>
        </w:rPr>
        <w:t>3GPP TSG-RAN WG4 Meeting #1</w:t>
      </w:r>
      <w:r w:rsidR="00E936DB">
        <w:rPr>
          <w:rFonts w:ascii="Arial" w:eastAsia="Malgun Gothic" w:hAnsi="Arial" w:cs="Arial"/>
          <w:b/>
          <w:sz w:val="24"/>
        </w:rPr>
        <w:t>11</w:t>
      </w:r>
      <w:r w:rsidRPr="00F35AC4">
        <w:rPr>
          <w:rFonts w:ascii="Arial" w:eastAsia="Malgun Gothic" w:hAnsi="Arial" w:cs="Arial"/>
          <w:b/>
          <w:sz w:val="24"/>
        </w:rPr>
        <w:tab/>
      </w:r>
      <w:r w:rsidRPr="00067D5B">
        <w:rPr>
          <w:rFonts w:ascii="Arial" w:eastAsia="Malgun Gothic" w:hAnsi="Arial" w:cs="Arial"/>
          <w:b/>
          <w:sz w:val="24"/>
        </w:rPr>
        <w:t>R4-</w:t>
      </w:r>
      <w:r w:rsidR="00CB0D2F">
        <w:rPr>
          <w:rFonts w:ascii="Arial" w:eastAsia="Malgun Gothic" w:hAnsi="Arial" w:cs="Arial"/>
          <w:b/>
          <w:sz w:val="24"/>
        </w:rPr>
        <w:t>2407714</w:t>
      </w:r>
      <w:r w:rsidRPr="00F35AC4">
        <w:rPr>
          <w:rFonts w:ascii="Arial" w:eastAsia="Malgun Gothic" w:hAnsi="Arial" w:cs="Arial"/>
          <w:b/>
          <w:sz w:val="24"/>
        </w:rPr>
        <w:br/>
      </w:r>
      <w:r w:rsidR="00E936DB">
        <w:rPr>
          <w:rFonts w:ascii="Arial" w:eastAsia="Malgun Gothic" w:hAnsi="Arial" w:cs="Arial"/>
          <w:b/>
          <w:sz w:val="24"/>
        </w:rPr>
        <w:t>Fukuoka</w:t>
      </w:r>
      <w:r w:rsidRPr="00D8769C">
        <w:rPr>
          <w:rFonts w:ascii="Arial" w:eastAsia="Malgun Gothic" w:hAnsi="Arial" w:cs="Arial"/>
          <w:b/>
          <w:sz w:val="24"/>
        </w:rPr>
        <w:t xml:space="preserve">, </w:t>
      </w:r>
      <w:r w:rsidR="00E936DB">
        <w:rPr>
          <w:rFonts w:ascii="Arial" w:eastAsia="Malgun Gothic" w:hAnsi="Arial" w:cs="Arial"/>
          <w:b/>
          <w:sz w:val="24"/>
        </w:rPr>
        <w:t>JP</w:t>
      </w:r>
      <w:r w:rsidRPr="00D8769C">
        <w:rPr>
          <w:rFonts w:ascii="Arial" w:eastAsia="Malgun Gothic" w:hAnsi="Arial" w:cs="Arial"/>
          <w:b/>
          <w:sz w:val="24"/>
        </w:rPr>
        <w:t xml:space="preserve">, </w:t>
      </w:r>
      <w:r w:rsidR="00E936DB">
        <w:rPr>
          <w:rFonts w:ascii="Arial" w:eastAsia="Malgun Gothic" w:hAnsi="Arial" w:cs="Arial"/>
          <w:b/>
          <w:sz w:val="24"/>
        </w:rPr>
        <w:t>20</w:t>
      </w:r>
      <w:r w:rsidRPr="00D8769C">
        <w:rPr>
          <w:rFonts w:ascii="Arial" w:eastAsia="Malgun Gothic" w:hAnsi="Arial" w:cs="Arial"/>
          <w:b/>
          <w:sz w:val="24"/>
        </w:rPr>
        <w:t xml:space="preserve"> – </w:t>
      </w:r>
      <w:r w:rsidR="00E936DB">
        <w:rPr>
          <w:rFonts w:ascii="Arial" w:eastAsia="Malgun Gothic" w:hAnsi="Arial" w:cs="Arial"/>
          <w:b/>
          <w:sz w:val="24"/>
        </w:rPr>
        <w:t>2</w:t>
      </w:r>
      <w:r w:rsidR="00CB0D2F">
        <w:rPr>
          <w:rFonts w:ascii="Arial" w:eastAsia="Malgun Gothic" w:hAnsi="Arial" w:cs="Arial"/>
          <w:b/>
          <w:sz w:val="24"/>
        </w:rPr>
        <w:t>4</w:t>
      </w:r>
      <w:r w:rsidRPr="00D8769C">
        <w:rPr>
          <w:rFonts w:ascii="Arial" w:eastAsia="Malgun Gothic" w:hAnsi="Arial" w:cs="Arial"/>
          <w:b/>
          <w:sz w:val="24"/>
        </w:rPr>
        <w:t xml:space="preserve"> </w:t>
      </w:r>
      <w:r w:rsidR="00E936DB">
        <w:rPr>
          <w:rFonts w:ascii="Arial" w:eastAsia="Malgun Gothic" w:hAnsi="Arial" w:cs="Arial"/>
          <w:b/>
          <w:sz w:val="24"/>
        </w:rPr>
        <w:t>May</w:t>
      </w:r>
      <w:r w:rsidRPr="00D8769C">
        <w:rPr>
          <w:rFonts w:ascii="Arial" w:eastAsia="Malgun Gothic" w:hAnsi="Arial" w:cs="Arial"/>
          <w:b/>
          <w:sz w:val="24"/>
        </w:rPr>
        <w:t>, 2024</w:t>
      </w:r>
    </w:p>
    <w:p w14:paraId="2637FD31" w14:textId="77777777" w:rsidR="001E0A28" w:rsidRPr="00F076DF" w:rsidRDefault="001E0A28" w:rsidP="001E0A28">
      <w:pPr>
        <w:spacing w:after="120"/>
        <w:ind w:left="1985" w:hanging="1985"/>
        <w:rPr>
          <w:rFonts w:ascii="Arial" w:eastAsia="MS Mincho" w:hAnsi="Arial" w:cs="Arial"/>
          <w:b/>
          <w:sz w:val="22"/>
        </w:rPr>
      </w:pPr>
    </w:p>
    <w:p w14:paraId="6AD848DE" w14:textId="3A4EBF14" w:rsidR="00523092" w:rsidRPr="00E936DB"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sv-SE"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CB0D2F">
        <w:rPr>
          <w:rFonts w:ascii="Arial" w:eastAsiaTheme="minorEastAsia" w:hAnsi="Arial" w:cs="Arial"/>
          <w:sz w:val="22"/>
          <w:lang w:val="sv-SE" w:eastAsia="zh-CN"/>
        </w:rPr>
        <w:t>7.9.1.2</w:t>
      </w:r>
    </w:p>
    <w:p w14:paraId="06705E18" w14:textId="1FE6415D"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A3B26">
        <w:rPr>
          <w:rFonts w:ascii="Arial" w:hAnsi="Arial" w:cs="Arial"/>
          <w:sz w:val="22"/>
          <w:lang w:eastAsia="zh-CN"/>
        </w:rPr>
        <w:t>Bluetest</w:t>
      </w:r>
    </w:p>
    <w:p w14:paraId="1FD6727F" w14:textId="3230FDFC" w:rsidR="00523092" w:rsidRPr="00F076DF"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E936DB">
        <w:rPr>
          <w:rFonts w:ascii="Arial" w:eastAsiaTheme="minorEastAsia" w:hAnsi="Arial" w:cs="Arial"/>
          <w:sz w:val="22"/>
          <w:lang w:eastAsia="zh-CN"/>
        </w:rPr>
        <w:t>A Qualitative Analysis of AC-RC Harmonization</w:t>
      </w:r>
      <w:r w:rsidR="00E936DB">
        <w:rPr>
          <w:rFonts w:ascii="Arial" w:eastAsiaTheme="minorEastAsia" w:hAnsi="Arial" w:cs="Arial"/>
          <w:sz w:val="22"/>
          <w:lang w:eastAsia="zh-CN"/>
        </w:rPr>
        <w:tab/>
      </w:r>
    </w:p>
    <w:p w14:paraId="00F33953" w14:textId="69FAE63C"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C63FB2">
        <w:rPr>
          <w:rFonts w:ascii="Arial" w:eastAsiaTheme="minorEastAsia" w:hAnsi="Arial" w:cs="Arial"/>
          <w:sz w:val="22"/>
          <w:lang w:eastAsia="zh-CN"/>
        </w:rPr>
        <w:t>Approval</w:t>
      </w:r>
    </w:p>
    <w:p w14:paraId="09A053E4" w14:textId="34FBDBF7" w:rsidR="00754FA0" w:rsidRPr="00EE032A" w:rsidRDefault="00754FA0" w:rsidP="00754FA0">
      <w:pPr>
        <w:pStyle w:val="Heading1"/>
        <w:ind w:left="567" w:hanging="567"/>
        <w:rPr>
          <w:rFonts w:eastAsia="Malgun Gothic"/>
        </w:rPr>
      </w:pPr>
      <w:r w:rsidRPr="00E936DB">
        <w:rPr>
          <w:rFonts w:eastAsia="Malgun Gothic"/>
          <w:lang w:val="en-US"/>
        </w:rPr>
        <w:tab/>
      </w:r>
      <w:r w:rsidRPr="00EE032A">
        <w:rPr>
          <w:rFonts w:eastAsia="Malgun Gothic"/>
        </w:rPr>
        <w:t>Introduction</w:t>
      </w:r>
    </w:p>
    <w:p w14:paraId="449068CB" w14:textId="03F65E3C" w:rsidR="008A3B26" w:rsidRPr="008A3B26" w:rsidRDefault="005D4167" w:rsidP="0093348E">
      <w:r>
        <w:rPr>
          <w:lang w:val="en-US"/>
        </w:rPr>
        <w:t>T</w:t>
      </w:r>
      <w:r w:rsidR="008A3B26">
        <w:rPr>
          <w:lang w:val="en-US"/>
        </w:rPr>
        <w:t>his working group has continued to collect relevant data from many labs using both AC and RC measurement methods and provide preliminary analysis [1]</w:t>
      </w:r>
      <w:r>
        <w:rPr>
          <w:lang w:val="en-US"/>
        </w:rPr>
        <w:t xml:space="preserve"> of harmonization potential</w:t>
      </w:r>
      <w:r w:rsidR="008A3B26">
        <w:rPr>
          <w:lang w:val="en-US"/>
        </w:rPr>
        <w:t xml:space="preserve">. The </w:t>
      </w:r>
      <w:r w:rsidR="008A3B26" w:rsidRPr="008A3B26">
        <w:t>WF [</w:t>
      </w:r>
      <w:r w:rsidR="008A3B26">
        <w:t>2</w:t>
      </w:r>
      <w:r w:rsidR="008A3B26" w:rsidRPr="008A3B26">
        <w:t xml:space="preserve">] in the last meeting </w:t>
      </w:r>
      <w:r w:rsidR="008A3B26">
        <w:t>encourages</w:t>
      </w:r>
      <w:r w:rsidR="008A3B26" w:rsidRPr="008A3B26">
        <w:t xml:space="preserve"> further discussion is on criteria for AC and RC alignment.</w:t>
      </w:r>
      <w:r w:rsidR="008A3B26">
        <w:t xml:space="preserve"> In </w:t>
      </w:r>
      <w:r w:rsidR="0093348E">
        <w:t>this document we look at some of the visual evidence for harmonization within the datasets collected as a basis for of final harmonization determination.</w:t>
      </w:r>
    </w:p>
    <w:p w14:paraId="6DC95D58" w14:textId="4F14F5E5" w:rsidR="00754FA0" w:rsidRPr="00EE032A" w:rsidRDefault="00754FA0" w:rsidP="00754FA0">
      <w:pPr>
        <w:pStyle w:val="Heading1"/>
        <w:ind w:left="567" w:hanging="567"/>
        <w:rPr>
          <w:rFonts w:eastAsia="Malgun Gothic"/>
        </w:rPr>
      </w:pPr>
      <w:r w:rsidRPr="00EE032A">
        <w:rPr>
          <w:rFonts w:eastAsia="Malgun Gothic"/>
        </w:rPr>
        <w:t>Discussion</w:t>
      </w:r>
    </w:p>
    <w:p w14:paraId="49F5228B" w14:textId="0443A590" w:rsidR="00C63FB2" w:rsidRDefault="0093348E" w:rsidP="00500010">
      <w:pPr>
        <w:rPr>
          <w:rFonts w:eastAsiaTheme="minorEastAsia"/>
          <w:lang w:val="en-US" w:eastAsia="zh-CN"/>
        </w:rPr>
      </w:pPr>
      <w:r w:rsidRPr="0093348E">
        <w:rPr>
          <w:rFonts w:eastAsiaTheme="minorEastAsia"/>
          <w:lang w:val="en-US" w:eastAsia="zh-CN"/>
        </w:rPr>
        <w:t>Us</w:t>
      </w:r>
      <w:r>
        <w:rPr>
          <w:rFonts w:eastAsiaTheme="minorEastAsia"/>
          <w:lang w:val="en-US" w:eastAsia="zh-CN"/>
        </w:rPr>
        <w:t xml:space="preserve">ing the data collected during the last meeting and summarized in [1], we have created a scatter plot analysis of the primary measurements for each device. For this we have </w:t>
      </w:r>
      <w:r w:rsidR="00E565A1">
        <w:rPr>
          <w:rFonts w:eastAsiaTheme="minorEastAsia"/>
          <w:lang w:val="en-US" w:eastAsia="zh-CN"/>
        </w:rPr>
        <w:t xml:space="preserve">not </w:t>
      </w:r>
      <w:r w:rsidR="002D243D">
        <w:rPr>
          <w:rFonts w:eastAsiaTheme="minorEastAsia"/>
          <w:lang w:val="en-US" w:eastAsia="zh-CN"/>
        </w:rPr>
        <w:t xml:space="preserve">used any averaged data on </w:t>
      </w:r>
      <w:r>
        <w:rPr>
          <w:rFonts w:eastAsiaTheme="minorEastAsia"/>
          <w:lang w:val="en-US" w:eastAsia="zh-CN"/>
        </w:rPr>
        <w:t>either the AC or R</w:t>
      </w:r>
      <w:r w:rsidR="00C63FB2">
        <w:rPr>
          <w:rFonts w:eastAsiaTheme="minorEastAsia"/>
          <w:lang w:val="en-US" w:eastAsia="zh-CN"/>
        </w:rPr>
        <w:t xml:space="preserve">C data and we have plotted the BHHR and BHHL pairs against each other to highlight the commonality and procedural consistency of measurement processes. </w:t>
      </w:r>
      <w:r w:rsidR="00C969FB">
        <w:rPr>
          <w:rFonts w:eastAsiaTheme="minorEastAsia"/>
          <w:lang w:val="en-US" w:eastAsia="zh-CN"/>
        </w:rPr>
        <w:t xml:space="preserve">This choice of using </w:t>
      </w:r>
      <w:r w:rsidR="002D243D">
        <w:rPr>
          <w:rFonts w:eastAsiaTheme="minorEastAsia"/>
          <w:lang w:val="en-US" w:eastAsia="zh-CN"/>
        </w:rPr>
        <w:t>BHH</w:t>
      </w:r>
      <w:r w:rsidR="00C969FB">
        <w:rPr>
          <w:rFonts w:eastAsiaTheme="minorEastAsia"/>
          <w:lang w:val="en-US" w:eastAsia="zh-CN"/>
        </w:rPr>
        <w:t xml:space="preserve">L/R as an axis split for </w:t>
      </w:r>
      <w:r w:rsidR="002D243D">
        <w:rPr>
          <w:rFonts w:eastAsiaTheme="minorEastAsia"/>
          <w:lang w:val="en-US" w:eastAsia="zh-CN"/>
        </w:rPr>
        <w:t>2-dimensional</w:t>
      </w:r>
      <w:r w:rsidR="00C969FB">
        <w:rPr>
          <w:rFonts w:eastAsiaTheme="minorEastAsia"/>
          <w:lang w:val="en-US" w:eastAsia="zh-CN"/>
        </w:rPr>
        <w:t xml:space="preserve"> </w:t>
      </w:r>
      <w:r w:rsidR="002D243D">
        <w:rPr>
          <w:rFonts w:eastAsiaTheme="minorEastAsia"/>
          <w:lang w:val="en-US" w:eastAsia="zh-CN"/>
        </w:rPr>
        <w:t xml:space="preserve">visualization </w:t>
      </w:r>
      <w:r w:rsidR="00C969FB">
        <w:rPr>
          <w:rFonts w:eastAsiaTheme="minorEastAsia"/>
          <w:lang w:val="en-US" w:eastAsia="zh-CN"/>
        </w:rPr>
        <w:t xml:space="preserve">is primarily for convenience, </w:t>
      </w:r>
      <w:r w:rsidR="002D243D">
        <w:rPr>
          <w:rFonts w:eastAsiaTheme="minorEastAsia"/>
          <w:lang w:val="en-US" w:eastAsia="zh-CN"/>
        </w:rPr>
        <w:t xml:space="preserve">and with an expectation that this variable would behave similarly in both AC and RC. </w:t>
      </w:r>
      <w:r w:rsidR="00C63FB2">
        <w:rPr>
          <w:rFonts w:eastAsiaTheme="minorEastAsia"/>
          <w:lang w:val="en-US" w:eastAsia="zh-CN"/>
        </w:rPr>
        <w:t xml:space="preserve">For the four devices tested we </w:t>
      </w:r>
      <w:r w:rsidR="00E565A1">
        <w:rPr>
          <w:rFonts w:eastAsiaTheme="minorEastAsia"/>
          <w:lang w:val="en-US" w:eastAsia="zh-CN"/>
        </w:rPr>
        <w:t>offer</w:t>
      </w:r>
      <w:r w:rsidR="00C63FB2">
        <w:rPr>
          <w:rFonts w:eastAsiaTheme="minorEastAsia"/>
          <w:lang w:val="en-US" w:eastAsia="zh-CN"/>
        </w:rPr>
        <w:t xml:space="preserve"> the following plots:</w:t>
      </w:r>
    </w:p>
    <w:p w14:paraId="7969C496" w14:textId="14EA5E74" w:rsidR="00C63FB2" w:rsidRDefault="00C63FB2" w:rsidP="00DC3A76">
      <w:pPr>
        <w:pStyle w:val="Header"/>
        <w:rPr>
          <w:lang w:val="en-US"/>
        </w:rPr>
      </w:pPr>
      <w:r>
        <w:rPr>
          <w:lang w:val="en-US"/>
        </w:rPr>
        <w:t>LAD1</w:t>
      </w:r>
    </w:p>
    <w:p w14:paraId="66B53C53" w14:textId="77777777" w:rsidR="00DC3A76" w:rsidRDefault="00AC2425" w:rsidP="00500010">
      <w:pPr>
        <w:rPr>
          <w:rFonts w:eastAsiaTheme="minorEastAsia"/>
          <w:lang w:val="en-US" w:eastAsia="zh-CN"/>
        </w:rPr>
      </w:pPr>
      <w:r>
        <w:rPr>
          <w:noProof/>
        </w:rPr>
        <w:drawing>
          <wp:inline distT="0" distB="0" distL="0" distR="0" wp14:anchorId="022A6406" wp14:editId="04BAE1E0">
            <wp:extent cx="4867275" cy="2762250"/>
            <wp:effectExtent l="0" t="0" r="9525" b="0"/>
            <wp:docPr id="537484792" name="Chart 1">
              <a:extLst xmlns:a="http://schemas.openxmlformats.org/drawingml/2006/main">
                <a:ext uri="{FF2B5EF4-FFF2-40B4-BE49-F238E27FC236}">
                  <a16:creationId xmlns:a16="http://schemas.microsoft.com/office/drawing/2014/main" id="{6A66373D-A5A6-4CC9-A2D6-6F03C2C802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3BC1581" w14:textId="7C098E08" w:rsidR="00C63FB2" w:rsidRDefault="00D41A17" w:rsidP="00500010">
      <w:pPr>
        <w:rPr>
          <w:rFonts w:eastAsiaTheme="minorEastAsia"/>
          <w:lang w:val="en-US" w:eastAsia="zh-CN"/>
        </w:rPr>
      </w:pPr>
      <w:r>
        <w:rPr>
          <w:noProof/>
        </w:rPr>
        <w:lastRenderedPageBreak/>
        <w:drawing>
          <wp:inline distT="0" distB="0" distL="0" distR="0" wp14:anchorId="159ACE22" wp14:editId="6EE2A054">
            <wp:extent cx="4867275" cy="2762250"/>
            <wp:effectExtent l="0" t="0" r="9525" b="0"/>
            <wp:docPr id="1602615243" name="Chart 1">
              <a:extLst xmlns:a="http://schemas.openxmlformats.org/drawingml/2006/main">
                <a:ext uri="{FF2B5EF4-FFF2-40B4-BE49-F238E27FC236}">
                  <a16:creationId xmlns:a16="http://schemas.microsoft.com/office/drawing/2014/main" id="{F2441B10-1952-4EC0-A768-2680804634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9813ED5" w14:textId="77777777" w:rsidR="00113CD2" w:rsidRDefault="00113CD2" w:rsidP="00500010">
      <w:pPr>
        <w:rPr>
          <w:rFonts w:eastAsiaTheme="minorEastAsia"/>
          <w:lang w:val="en-US" w:eastAsia="zh-CN"/>
        </w:rPr>
      </w:pPr>
    </w:p>
    <w:p w14:paraId="29AD5C37" w14:textId="436B2AC2" w:rsidR="00C63FB2" w:rsidRDefault="00C63FB2" w:rsidP="00DC3A76">
      <w:pPr>
        <w:pStyle w:val="Header"/>
        <w:rPr>
          <w:lang w:val="en-US"/>
        </w:rPr>
      </w:pPr>
      <w:r>
        <w:rPr>
          <w:lang w:val="en-US"/>
        </w:rPr>
        <w:t>LAD2</w:t>
      </w:r>
    </w:p>
    <w:p w14:paraId="69FBA101" w14:textId="77777777" w:rsidR="00DC3A76" w:rsidRDefault="00AC2425" w:rsidP="00500010">
      <w:pPr>
        <w:rPr>
          <w:rFonts w:eastAsiaTheme="minorEastAsia"/>
          <w:lang w:val="en-US" w:eastAsia="zh-CN"/>
        </w:rPr>
      </w:pPr>
      <w:r>
        <w:rPr>
          <w:noProof/>
        </w:rPr>
        <w:drawing>
          <wp:inline distT="0" distB="0" distL="0" distR="0" wp14:anchorId="462F5988" wp14:editId="218A9E42">
            <wp:extent cx="4867275" cy="2762250"/>
            <wp:effectExtent l="0" t="0" r="9525" b="0"/>
            <wp:docPr id="672414682" name="Chart 1">
              <a:extLst xmlns:a="http://schemas.openxmlformats.org/drawingml/2006/main">
                <a:ext uri="{FF2B5EF4-FFF2-40B4-BE49-F238E27FC236}">
                  <a16:creationId xmlns:a16="http://schemas.microsoft.com/office/drawing/2014/main" id="{BD8D6E9C-B109-44F0-9BED-8215C27A77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36B0328" w14:textId="54FAD604" w:rsidR="00C63FB2" w:rsidRDefault="00D41A17" w:rsidP="00500010">
      <w:pPr>
        <w:rPr>
          <w:rFonts w:eastAsiaTheme="minorEastAsia"/>
          <w:lang w:val="en-US" w:eastAsia="zh-CN"/>
        </w:rPr>
      </w:pPr>
      <w:r>
        <w:rPr>
          <w:noProof/>
        </w:rPr>
        <w:drawing>
          <wp:inline distT="0" distB="0" distL="0" distR="0" wp14:anchorId="302C23A2" wp14:editId="285FCF73">
            <wp:extent cx="4867275" cy="2762250"/>
            <wp:effectExtent l="0" t="0" r="9525" b="0"/>
            <wp:docPr id="1719403141" name="Chart 1">
              <a:extLst xmlns:a="http://schemas.openxmlformats.org/drawingml/2006/main">
                <a:ext uri="{FF2B5EF4-FFF2-40B4-BE49-F238E27FC236}">
                  <a16:creationId xmlns:a16="http://schemas.microsoft.com/office/drawing/2014/main" id="{65B9CCA9-D956-42EE-9C01-63813A6F99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eastAsiaTheme="minorEastAsia"/>
          <w:lang w:val="en-US" w:eastAsia="zh-CN"/>
        </w:rPr>
        <w:tab/>
      </w:r>
    </w:p>
    <w:p w14:paraId="5C904AEB" w14:textId="77777777" w:rsidR="00113CD2" w:rsidRDefault="00113CD2" w:rsidP="00500010">
      <w:pPr>
        <w:rPr>
          <w:rFonts w:eastAsiaTheme="minorEastAsia"/>
          <w:lang w:val="en-US" w:eastAsia="zh-CN"/>
        </w:rPr>
      </w:pPr>
    </w:p>
    <w:p w14:paraId="345230F8" w14:textId="6D195D30" w:rsidR="00C63FB2" w:rsidRDefault="00C63FB2" w:rsidP="00DC3A76">
      <w:pPr>
        <w:pStyle w:val="Header"/>
        <w:rPr>
          <w:lang w:val="en-US"/>
        </w:rPr>
      </w:pPr>
      <w:r>
        <w:rPr>
          <w:lang w:val="en-US"/>
        </w:rPr>
        <w:t>LAD3</w:t>
      </w:r>
    </w:p>
    <w:p w14:paraId="7A66CC99" w14:textId="77777777" w:rsidR="00DC3A76" w:rsidRDefault="00831AFE" w:rsidP="00500010">
      <w:pPr>
        <w:rPr>
          <w:rFonts w:eastAsiaTheme="minorEastAsia"/>
          <w:lang w:val="en-US" w:eastAsia="zh-CN"/>
        </w:rPr>
      </w:pPr>
      <w:r>
        <w:rPr>
          <w:noProof/>
        </w:rPr>
        <w:drawing>
          <wp:inline distT="0" distB="0" distL="0" distR="0" wp14:anchorId="0540C4BA" wp14:editId="20C7D49D">
            <wp:extent cx="4867275" cy="2762250"/>
            <wp:effectExtent l="0" t="0" r="9525" b="0"/>
            <wp:docPr id="514617327" name="Chart 1">
              <a:extLst xmlns:a="http://schemas.openxmlformats.org/drawingml/2006/main">
                <a:ext uri="{FF2B5EF4-FFF2-40B4-BE49-F238E27FC236}">
                  <a16:creationId xmlns:a16="http://schemas.microsoft.com/office/drawing/2014/main" id="{A7B38BE4-7EA3-ED52-2897-3BAC8C130D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6BBB2AC" w14:textId="4DC88F87" w:rsidR="00C63FB2" w:rsidRDefault="00E565A1" w:rsidP="00500010">
      <w:pPr>
        <w:rPr>
          <w:rFonts w:eastAsiaTheme="minorEastAsia"/>
          <w:lang w:val="en-US" w:eastAsia="zh-CN"/>
        </w:rPr>
      </w:pPr>
      <w:r>
        <w:rPr>
          <w:noProof/>
        </w:rPr>
        <w:drawing>
          <wp:inline distT="0" distB="0" distL="0" distR="0" wp14:anchorId="223708C9" wp14:editId="3458B939">
            <wp:extent cx="4867275" cy="2762250"/>
            <wp:effectExtent l="0" t="0" r="9525" b="0"/>
            <wp:docPr id="1317031241" name="Chart 1">
              <a:extLst xmlns:a="http://schemas.openxmlformats.org/drawingml/2006/main">
                <a:ext uri="{FF2B5EF4-FFF2-40B4-BE49-F238E27FC236}">
                  <a16:creationId xmlns:a16="http://schemas.microsoft.com/office/drawing/2014/main" id="{4D8B0A77-F16D-4B07-8DFB-524996698F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9A7FD76" w14:textId="56F0188D" w:rsidR="00C63FB2" w:rsidRDefault="00C63FB2" w:rsidP="00DC3A76">
      <w:pPr>
        <w:pStyle w:val="Header"/>
        <w:rPr>
          <w:lang w:val="en-US"/>
        </w:rPr>
      </w:pPr>
      <w:r>
        <w:rPr>
          <w:lang w:val="en-US"/>
        </w:rPr>
        <w:t>LAD4</w:t>
      </w:r>
    </w:p>
    <w:p w14:paraId="0133A4B3" w14:textId="77777777" w:rsidR="00DC3A76" w:rsidRDefault="00831AFE" w:rsidP="00500010">
      <w:pPr>
        <w:rPr>
          <w:rFonts w:eastAsiaTheme="minorEastAsia"/>
          <w:lang w:val="en-US" w:eastAsia="zh-CN"/>
        </w:rPr>
      </w:pPr>
      <w:r>
        <w:rPr>
          <w:noProof/>
        </w:rPr>
        <w:drawing>
          <wp:inline distT="0" distB="0" distL="0" distR="0" wp14:anchorId="717D73D5" wp14:editId="74D1AA30">
            <wp:extent cx="4867275" cy="2762250"/>
            <wp:effectExtent l="0" t="0" r="9525" b="0"/>
            <wp:docPr id="401176315" name="Chart 1">
              <a:extLst xmlns:a="http://schemas.openxmlformats.org/drawingml/2006/main">
                <a:ext uri="{FF2B5EF4-FFF2-40B4-BE49-F238E27FC236}">
                  <a16:creationId xmlns:a16="http://schemas.microsoft.com/office/drawing/2014/main" id="{24FC56AF-B47D-45A5-A279-B9B3CC0756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167E9A5" w14:textId="70E8AF3F" w:rsidR="00C63FB2" w:rsidRDefault="00D41A17" w:rsidP="00500010">
      <w:pPr>
        <w:rPr>
          <w:rFonts w:eastAsiaTheme="minorEastAsia"/>
          <w:lang w:val="en-US" w:eastAsia="zh-CN"/>
        </w:rPr>
      </w:pPr>
      <w:r>
        <w:rPr>
          <w:noProof/>
        </w:rPr>
        <w:lastRenderedPageBreak/>
        <w:drawing>
          <wp:inline distT="0" distB="0" distL="0" distR="0" wp14:anchorId="2997FFBF" wp14:editId="473AFF9A">
            <wp:extent cx="4867275" cy="2762250"/>
            <wp:effectExtent l="0" t="0" r="9525" b="0"/>
            <wp:docPr id="443645075" name="Chart 1">
              <a:extLst xmlns:a="http://schemas.openxmlformats.org/drawingml/2006/main">
                <a:ext uri="{FF2B5EF4-FFF2-40B4-BE49-F238E27FC236}">
                  <a16:creationId xmlns:a16="http://schemas.microsoft.com/office/drawing/2014/main" id="{EED99F42-C4F2-4081-BD49-6EFD369DA3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424437F" w14:textId="36A831BA" w:rsidR="00C63FB2" w:rsidRDefault="00DC3A76" w:rsidP="00500010">
      <w:pPr>
        <w:rPr>
          <w:rFonts w:eastAsiaTheme="minorEastAsia"/>
          <w:lang w:val="en-US" w:eastAsia="zh-CN"/>
        </w:rPr>
      </w:pPr>
      <w:r>
        <w:rPr>
          <w:rFonts w:eastAsiaTheme="minorEastAsia"/>
          <w:lang w:val="en-US" w:eastAsia="zh-CN"/>
        </w:rPr>
        <w:t>Observation 1: The scatterplot analysis provides useful qualitative evidence of</w:t>
      </w:r>
      <w:r w:rsidR="00B15939">
        <w:rPr>
          <w:rFonts w:eastAsiaTheme="minorEastAsia"/>
          <w:lang w:val="en-US" w:eastAsia="zh-CN"/>
        </w:rPr>
        <w:t xml:space="preserve"> any</w:t>
      </w:r>
      <w:r>
        <w:rPr>
          <w:rFonts w:eastAsiaTheme="minorEastAsia"/>
          <w:lang w:val="en-US" w:eastAsia="zh-CN"/>
        </w:rPr>
        <w:t xml:space="preserve"> harmonization potential and </w:t>
      </w:r>
      <w:r w:rsidR="00B15939">
        <w:rPr>
          <w:rFonts w:eastAsiaTheme="minorEastAsia"/>
          <w:lang w:val="en-US" w:eastAsia="zh-CN"/>
        </w:rPr>
        <w:t>general comparison of</w:t>
      </w:r>
      <w:r>
        <w:rPr>
          <w:rFonts w:eastAsiaTheme="minorEastAsia"/>
          <w:lang w:val="en-US" w:eastAsia="zh-CN"/>
        </w:rPr>
        <w:t xml:space="preserve"> both measurement accuracy and repeatability </w:t>
      </w:r>
      <w:r w:rsidR="00B15939">
        <w:rPr>
          <w:rFonts w:eastAsiaTheme="minorEastAsia"/>
          <w:lang w:val="en-US" w:eastAsia="zh-CN"/>
        </w:rPr>
        <w:t>for</w:t>
      </w:r>
      <w:r>
        <w:rPr>
          <w:rFonts w:eastAsiaTheme="minorEastAsia"/>
          <w:lang w:val="en-US" w:eastAsia="zh-CN"/>
        </w:rPr>
        <w:t xml:space="preserve"> these two methods.</w:t>
      </w:r>
    </w:p>
    <w:p w14:paraId="04E758F7" w14:textId="701E0477" w:rsidR="00DC3A76" w:rsidRDefault="00DC3A76" w:rsidP="00500010">
      <w:pPr>
        <w:rPr>
          <w:rFonts w:eastAsiaTheme="minorEastAsia"/>
          <w:lang w:val="en-US" w:eastAsia="zh-CN"/>
        </w:rPr>
      </w:pPr>
      <w:r>
        <w:rPr>
          <w:rFonts w:eastAsiaTheme="minorEastAsia"/>
          <w:lang w:val="en-US" w:eastAsia="zh-CN"/>
        </w:rPr>
        <w:t>Observation 2: For TRP the result groupings from each method overlap each other both in place and spread for all 4 measurement and device combinations.</w:t>
      </w:r>
    </w:p>
    <w:p w14:paraId="32F8B5BA" w14:textId="11B3F5D1" w:rsidR="00DC3A76" w:rsidRDefault="00DC3A76" w:rsidP="00500010">
      <w:pPr>
        <w:rPr>
          <w:rFonts w:eastAsiaTheme="minorEastAsia"/>
          <w:lang w:val="en-US" w:eastAsia="zh-CN"/>
        </w:rPr>
      </w:pPr>
      <w:r>
        <w:rPr>
          <w:rFonts w:eastAsiaTheme="minorEastAsia"/>
          <w:lang w:val="en-US" w:eastAsia="zh-CN"/>
        </w:rPr>
        <w:t xml:space="preserve">Observation 3: For TRS the </w:t>
      </w:r>
      <w:r w:rsidR="00D62F56">
        <w:rPr>
          <w:rFonts w:eastAsiaTheme="minorEastAsia"/>
          <w:lang w:val="en-US" w:eastAsia="zh-CN"/>
        </w:rPr>
        <w:t xml:space="preserve">RC and AC points </w:t>
      </w:r>
      <w:r>
        <w:rPr>
          <w:rFonts w:eastAsiaTheme="minorEastAsia"/>
          <w:lang w:val="en-US" w:eastAsia="zh-CN"/>
        </w:rPr>
        <w:t>share the same result space for LAD1 and LAD2 (n78) but show a difference for LAD3 and LAD4 (n28).</w:t>
      </w:r>
    </w:p>
    <w:p w14:paraId="75892AF1" w14:textId="0BFADA52" w:rsidR="00DC3A76" w:rsidRDefault="00DC3A76" w:rsidP="00500010">
      <w:pPr>
        <w:rPr>
          <w:rFonts w:eastAsiaTheme="minorEastAsia"/>
          <w:lang w:val="en-US" w:eastAsia="zh-CN"/>
        </w:rPr>
      </w:pPr>
      <w:r>
        <w:rPr>
          <w:rFonts w:eastAsiaTheme="minorEastAsia"/>
          <w:lang w:val="en-US" w:eastAsia="zh-CN"/>
        </w:rPr>
        <w:t xml:space="preserve">Observation 4: The differences in TRS for LAD3 and LAD4 </w:t>
      </w:r>
      <w:r w:rsidR="00E172AD">
        <w:rPr>
          <w:rFonts w:eastAsiaTheme="minorEastAsia"/>
          <w:lang w:val="en-US" w:eastAsia="zh-CN"/>
        </w:rPr>
        <w:t>show up as a power offset consistent in both L and R variations.</w:t>
      </w:r>
    </w:p>
    <w:p w14:paraId="6ACB07EC" w14:textId="6D9BD4E7" w:rsidR="00B0454E" w:rsidRDefault="00B0454E" w:rsidP="00500010">
      <w:pPr>
        <w:rPr>
          <w:rFonts w:eastAsiaTheme="minorEastAsia"/>
          <w:lang w:val="en-US" w:eastAsia="zh-CN"/>
        </w:rPr>
      </w:pPr>
      <w:r>
        <w:rPr>
          <w:rFonts w:eastAsiaTheme="minorEastAsia"/>
          <w:lang w:val="en-US" w:eastAsia="zh-CN"/>
        </w:rPr>
        <w:t xml:space="preserve">Observation 5: The similarity in result spreads on all devices and all measurements shows that some further </w:t>
      </w:r>
      <w:r w:rsidR="00D62F56">
        <w:rPr>
          <w:rFonts w:eastAsiaTheme="minorEastAsia"/>
          <w:lang w:val="en-US" w:eastAsia="zh-CN"/>
        </w:rPr>
        <w:t>alignment</w:t>
      </w:r>
      <w:r>
        <w:rPr>
          <w:rFonts w:eastAsiaTheme="minorEastAsia"/>
          <w:lang w:val="en-US" w:eastAsia="zh-CN"/>
        </w:rPr>
        <w:t xml:space="preserve"> of</w:t>
      </w:r>
      <w:r w:rsidR="00D62F56">
        <w:rPr>
          <w:rFonts w:eastAsiaTheme="minorEastAsia"/>
          <w:lang w:val="en-US" w:eastAsia="zh-CN"/>
        </w:rPr>
        <w:t xml:space="preserve"> RC and AC</w:t>
      </w:r>
      <w:r>
        <w:rPr>
          <w:rFonts w:eastAsiaTheme="minorEastAsia"/>
          <w:lang w:val="en-US" w:eastAsia="zh-CN"/>
        </w:rPr>
        <w:t xml:space="preserve"> MU definitions</w:t>
      </w:r>
      <w:r w:rsidR="00B63C72">
        <w:rPr>
          <w:rFonts w:eastAsiaTheme="minorEastAsia"/>
          <w:lang w:val="en-US" w:eastAsia="zh-CN"/>
        </w:rPr>
        <w:t xml:space="preserve"> [3]</w:t>
      </w:r>
      <w:r>
        <w:rPr>
          <w:rFonts w:eastAsiaTheme="minorEastAsia"/>
          <w:lang w:val="en-US" w:eastAsia="zh-CN"/>
        </w:rPr>
        <w:t xml:space="preserve"> can be attempted.</w:t>
      </w:r>
    </w:p>
    <w:p w14:paraId="16F23E01" w14:textId="00745902" w:rsidR="00DB556E" w:rsidRDefault="00DB556E" w:rsidP="00500010">
      <w:pPr>
        <w:rPr>
          <w:rFonts w:eastAsiaTheme="minorEastAsia"/>
          <w:b/>
          <w:bCs/>
          <w:lang w:eastAsia="zh-CN"/>
        </w:rPr>
      </w:pPr>
      <w:r w:rsidRPr="000276C8">
        <w:rPr>
          <w:rFonts w:eastAsiaTheme="minorEastAsia"/>
          <w:b/>
          <w:bCs/>
          <w:lang w:eastAsia="zh-CN"/>
        </w:rPr>
        <w:t xml:space="preserve">Proposal </w:t>
      </w:r>
      <w:r w:rsidR="00E172AD">
        <w:rPr>
          <w:rFonts w:eastAsiaTheme="minorEastAsia"/>
          <w:b/>
          <w:bCs/>
          <w:lang w:eastAsia="zh-CN"/>
        </w:rPr>
        <w:t>1</w:t>
      </w:r>
      <w:r w:rsidRPr="000276C8">
        <w:rPr>
          <w:rFonts w:eastAsiaTheme="minorEastAsia"/>
          <w:b/>
          <w:bCs/>
          <w:lang w:eastAsia="zh-CN"/>
        </w:rPr>
        <w:t xml:space="preserve">: </w:t>
      </w:r>
      <w:r w:rsidR="00E172AD">
        <w:rPr>
          <w:rFonts w:eastAsiaTheme="minorEastAsia"/>
          <w:b/>
          <w:bCs/>
          <w:lang w:eastAsia="zh-CN"/>
        </w:rPr>
        <w:t>Improve the currently published RC</w:t>
      </w:r>
      <w:r w:rsidR="000276C8" w:rsidRPr="000276C8">
        <w:rPr>
          <w:rFonts w:eastAsiaTheme="minorEastAsia"/>
          <w:b/>
          <w:bCs/>
          <w:lang w:eastAsia="zh-CN"/>
        </w:rPr>
        <w:t xml:space="preserve"> MU</w:t>
      </w:r>
      <w:r w:rsidR="00E172AD">
        <w:rPr>
          <w:rFonts w:eastAsiaTheme="minorEastAsia"/>
          <w:b/>
          <w:bCs/>
          <w:lang w:eastAsia="zh-CN"/>
        </w:rPr>
        <w:t xml:space="preserve"> with high and low frequency MU values similar to the AC MU tables</w:t>
      </w:r>
      <w:r w:rsidR="000276C8" w:rsidRPr="000276C8">
        <w:rPr>
          <w:rFonts w:eastAsiaTheme="minorEastAsia"/>
          <w:b/>
          <w:bCs/>
          <w:lang w:eastAsia="zh-CN"/>
        </w:rPr>
        <w:t>.</w:t>
      </w:r>
    </w:p>
    <w:p w14:paraId="063B394A" w14:textId="587F9C35" w:rsidR="00E172AD" w:rsidRPr="000276C8" w:rsidRDefault="00E172AD" w:rsidP="00500010">
      <w:pPr>
        <w:rPr>
          <w:rFonts w:eastAsiaTheme="minorEastAsia"/>
          <w:b/>
          <w:bCs/>
          <w:lang w:eastAsia="zh-CN"/>
        </w:rPr>
      </w:pPr>
      <w:r>
        <w:rPr>
          <w:rFonts w:eastAsiaTheme="minorEastAsia"/>
          <w:b/>
          <w:bCs/>
          <w:lang w:eastAsia="zh-CN"/>
        </w:rPr>
        <w:t>Proposal 2: Based on the qualitative analysis, quantitative criteria for a positive harmonization conclusion can be found with confidence for the TRP measurement.</w:t>
      </w:r>
    </w:p>
    <w:p w14:paraId="4F830480" w14:textId="5456096D" w:rsidR="00772DDA" w:rsidRPr="00EE032A" w:rsidRDefault="00772DDA" w:rsidP="00772DDA">
      <w:pPr>
        <w:pStyle w:val="Heading1"/>
        <w:ind w:left="567" w:hanging="567"/>
        <w:rPr>
          <w:rFonts w:eastAsia="Malgun Gothic"/>
        </w:rPr>
      </w:pPr>
      <w:r w:rsidRPr="00EE032A">
        <w:rPr>
          <w:rFonts w:eastAsia="Malgun Gothic"/>
        </w:rPr>
        <w:t>Conclusion</w:t>
      </w:r>
    </w:p>
    <w:p w14:paraId="705071D9" w14:textId="3E85D26C" w:rsidR="00772DDA" w:rsidRDefault="00571985" w:rsidP="002125C8">
      <w:r>
        <w:t>The following recommendations for determining AC RC harmonization are proposed:</w:t>
      </w:r>
    </w:p>
    <w:p w14:paraId="57E0E1D9" w14:textId="77777777" w:rsidR="00B63C72" w:rsidRDefault="00B63C72" w:rsidP="00B63C72">
      <w:pPr>
        <w:rPr>
          <w:rFonts w:eastAsiaTheme="minorEastAsia"/>
          <w:b/>
          <w:bCs/>
          <w:lang w:eastAsia="zh-CN"/>
        </w:rPr>
      </w:pPr>
      <w:r w:rsidRPr="000276C8">
        <w:rPr>
          <w:rFonts w:eastAsiaTheme="minorEastAsia"/>
          <w:b/>
          <w:bCs/>
          <w:lang w:eastAsia="zh-CN"/>
        </w:rPr>
        <w:t xml:space="preserve">Proposal </w:t>
      </w:r>
      <w:r>
        <w:rPr>
          <w:rFonts w:eastAsiaTheme="minorEastAsia"/>
          <w:b/>
          <w:bCs/>
          <w:lang w:eastAsia="zh-CN"/>
        </w:rPr>
        <w:t>1</w:t>
      </w:r>
      <w:r w:rsidRPr="000276C8">
        <w:rPr>
          <w:rFonts w:eastAsiaTheme="minorEastAsia"/>
          <w:b/>
          <w:bCs/>
          <w:lang w:eastAsia="zh-CN"/>
        </w:rPr>
        <w:t xml:space="preserve">: </w:t>
      </w:r>
      <w:r>
        <w:rPr>
          <w:rFonts w:eastAsiaTheme="minorEastAsia"/>
          <w:b/>
          <w:bCs/>
          <w:lang w:eastAsia="zh-CN"/>
        </w:rPr>
        <w:t>Improve the currently published RC</w:t>
      </w:r>
      <w:r w:rsidRPr="000276C8">
        <w:rPr>
          <w:rFonts w:eastAsiaTheme="minorEastAsia"/>
          <w:b/>
          <w:bCs/>
          <w:lang w:eastAsia="zh-CN"/>
        </w:rPr>
        <w:t xml:space="preserve"> MU</w:t>
      </w:r>
      <w:r>
        <w:rPr>
          <w:rFonts w:eastAsiaTheme="minorEastAsia"/>
          <w:b/>
          <w:bCs/>
          <w:lang w:eastAsia="zh-CN"/>
        </w:rPr>
        <w:t xml:space="preserve"> with high and low frequency MU values similar to the AC MU tables</w:t>
      </w:r>
      <w:r w:rsidRPr="000276C8">
        <w:rPr>
          <w:rFonts w:eastAsiaTheme="minorEastAsia"/>
          <w:b/>
          <w:bCs/>
          <w:lang w:eastAsia="zh-CN"/>
        </w:rPr>
        <w:t>.</w:t>
      </w:r>
    </w:p>
    <w:p w14:paraId="69452A34" w14:textId="3428838D" w:rsidR="00B63C72" w:rsidRPr="000276C8" w:rsidRDefault="00B63C72" w:rsidP="00B63C72">
      <w:pPr>
        <w:rPr>
          <w:rFonts w:eastAsiaTheme="minorEastAsia"/>
          <w:b/>
          <w:bCs/>
          <w:lang w:eastAsia="zh-CN"/>
        </w:rPr>
      </w:pPr>
      <w:r>
        <w:rPr>
          <w:rFonts w:eastAsiaTheme="minorEastAsia"/>
          <w:b/>
          <w:bCs/>
          <w:lang w:eastAsia="zh-CN"/>
        </w:rPr>
        <w:t>Proposal 2: Based on the qualitative analysis, quantitative criteria for a positive harmonization conclusion can be found with confidence for the TRP measurement.</w:t>
      </w:r>
    </w:p>
    <w:p w14:paraId="3D7E81EE" w14:textId="77777777" w:rsidR="00772DDA" w:rsidRPr="00EE032A" w:rsidRDefault="00772DDA" w:rsidP="00772DDA">
      <w:pPr>
        <w:pStyle w:val="Heading1"/>
        <w:ind w:left="567" w:hanging="567"/>
        <w:rPr>
          <w:rFonts w:eastAsia="Malgun Gothic"/>
        </w:rPr>
      </w:pPr>
      <w:r w:rsidRPr="006C64BF">
        <w:rPr>
          <w:rFonts w:eastAsia="Malgun Gothic"/>
          <w:lang w:val="en-US"/>
        </w:rPr>
        <w:tab/>
      </w:r>
      <w:r w:rsidRPr="00EE032A">
        <w:rPr>
          <w:rFonts w:eastAsia="Malgun Gothic"/>
        </w:rPr>
        <w:t>References</w:t>
      </w:r>
    </w:p>
    <w:p w14:paraId="394B4BB9" w14:textId="50D580B7" w:rsidR="00846FBC" w:rsidRDefault="00846FBC" w:rsidP="00C67E5D">
      <w:pPr>
        <w:numPr>
          <w:ilvl w:val="0"/>
          <w:numId w:val="3"/>
        </w:numPr>
        <w:overflowPunct w:val="0"/>
        <w:autoSpaceDE w:val="0"/>
        <w:autoSpaceDN w:val="0"/>
        <w:adjustRightInd w:val="0"/>
        <w:spacing w:after="100"/>
        <w:textAlignment w:val="baseline"/>
      </w:pPr>
      <w:r w:rsidRPr="00846FBC">
        <w:t>R4-240</w:t>
      </w:r>
      <w:r w:rsidR="00147530">
        <w:t>4644</w:t>
      </w:r>
      <w:r w:rsidRPr="00846FBC">
        <w:t xml:space="preserve"> Analysis of 3GPP TRP TRS AC lab alignment and RC harmonization measurement result</w:t>
      </w:r>
      <w:r>
        <w:t>s</w:t>
      </w:r>
      <w:r w:rsidR="00AE0EE1">
        <w:t>, vivo</w:t>
      </w:r>
    </w:p>
    <w:p w14:paraId="569CBD76" w14:textId="33D4011E" w:rsidR="00846FBC" w:rsidRDefault="00846FBC" w:rsidP="00C67E5D">
      <w:pPr>
        <w:numPr>
          <w:ilvl w:val="0"/>
          <w:numId w:val="3"/>
        </w:numPr>
        <w:overflowPunct w:val="0"/>
        <w:autoSpaceDE w:val="0"/>
        <w:autoSpaceDN w:val="0"/>
        <w:adjustRightInd w:val="0"/>
        <w:spacing w:after="100"/>
        <w:textAlignment w:val="baseline"/>
      </w:pPr>
      <w:r w:rsidRPr="00846FBC">
        <w:t>R4-240</w:t>
      </w:r>
      <w:r w:rsidR="00186013">
        <w:t>6081</w:t>
      </w:r>
      <w:r w:rsidRPr="00846FBC">
        <w:t xml:space="preserve"> WF for [110</w:t>
      </w:r>
      <w:r w:rsidR="00147530">
        <w:t>-bis</w:t>
      </w:r>
      <w:r w:rsidRPr="00846FBC">
        <w:t>][331] NR_FR1_TRP_TRS_enh</w:t>
      </w:r>
    </w:p>
    <w:p w14:paraId="3F5F8BCD" w14:textId="16644285" w:rsidR="00772DDA" w:rsidRPr="00186013" w:rsidRDefault="007D0537" w:rsidP="00186013">
      <w:pPr>
        <w:pStyle w:val="ListParagraph"/>
        <w:numPr>
          <w:ilvl w:val="0"/>
          <w:numId w:val="3"/>
        </w:numPr>
        <w:ind w:firstLineChars="0"/>
        <w:rPr>
          <w:rFonts w:eastAsia="SimSun"/>
        </w:rPr>
      </w:pPr>
      <w:r w:rsidRPr="007D0537">
        <w:rPr>
          <w:rFonts w:eastAsia="SimSun"/>
        </w:rPr>
        <w:t>3GPP TR 38.870 V</w:t>
      </w:r>
      <w:r w:rsidR="00571985">
        <w:rPr>
          <w:rFonts w:eastAsia="SimSun"/>
        </w:rPr>
        <w:t>18</w:t>
      </w:r>
      <w:r w:rsidRPr="007D0537">
        <w:rPr>
          <w:rFonts w:eastAsia="SimSun"/>
        </w:rPr>
        <w:t>.</w:t>
      </w:r>
      <w:r w:rsidR="00571985">
        <w:rPr>
          <w:rFonts w:eastAsia="SimSun"/>
        </w:rPr>
        <w:t>1</w:t>
      </w:r>
      <w:r w:rsidRPr="007D0537">
        <w:rPr>
          <w:rFonts w:eastAsia="SimSun"/>
        </w:rPr>
        <w:t>.0 (202</w:t>
      </w:r>
      <w:r w:rsidR="00571985">
        <w:rPr>
          <w:rFonts w:eastAsia="SimSun"/>
        </w:rPr>
        <w:t>4</w:t>
      </w:r>
      <w:r w:rsidRPr="007D0537">
        <w:rPr>
          <w:rFonts w:eastAsia="SimSun"/>
        </w:rPr>
        <w:t>-0</w:t>
      </w:r>
      <w:r w:rsidR="00571985">
        <w:rPr>
          <w:rFonts w:eastAsia="SimSun"/>
        </w:rPr>
        <w:t>4</w:t>
      </w:r>
      <w:r w:rsidRPr="007D0537">
        <w:rPr>
          <w:rFonts w:eastAsia="SimSun"/>
        </w:rPr>
        <w:t>)</w:t>
      </w:r>
    </w:p>
    <w:sectPr w:rsidR="00772DDA" w:rsidRPr="00186013" w:rsidSect="00E25E0C">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2B211" w14:textId="77777777" w:rsidR="0056559C" w:rsidRDefault="0056559C">
      <w:r>
        <w:separator/>
      </w:r>
    </w:p>
  </w:endnote>
  <w:endnote w:type="continuationSeparator" w:id="0">
    <w:p w14:paraId="6ABFB248" w14:textId="77777777" w:rsidR="0056559C" w:rsidRDefault="00565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73AA0" w14:textId="77777777" w:rsidR="0056559C" w:rsidRDefault="0056559C">
      <w:r>
        <w:separator/>
      </w:r>
    </w:p>
  </w:footnote>
  <w:footnote w:type="continuationSeparator" w:id="0">
    <w:p w14:paraId="5BDB238F" w14:textId="77777777" w:rsidR="0056559C" w:rsidRDefault="00565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EAE05028"/>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FD682F"/>
    <w:multiLevelType w:val="hybridMultilevel"/>
    <w:tmpl w:val="9B0825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322F7"/>
    <w:multiLevelType w:val="hybridMultilevel"/>
    <w:tmpl w:val="6546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70DA3"/>
    <w:multiLevelType w:val="hybridMultilevel"/>
    <w:tmpl w:val="8C46E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8D2EA11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8BA4EF0"/>
    <w:multiLevelType w:val="hybridMultilevel"/>
    <w:tmpl w:val="22743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525025">
    <w:abstractNumId w:val="4"/>
  </w:num>
  <w:num w:numId="2" w16cid:durableId="12074293">
    <w:abstractNumId w:val="2"/>
  </w:num>
  <w:num w:numId="3" w16cid:durableId="1360817572">
    <w:abstractNumId w:val="0"/>
  </w:num>
  <w:num w:numId="4" w16cid:durableId="1626963301">
    <w:abstractNumId w:val="1"/>
  </w:num>
  <w:num w:numId="5" w16cid:durableId="1024475869">
    <w:abstractNumId w:val="5"/>
  </w:num>
  <w:num w:numId="6" w16cid:durableId="738407318">
    <w:abstractNumId w:val="3"/>
  </w:num>
  <w:num w:numId="7" w16cid:durableId="4889235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9F"/>
    <w:rsid w:val="00000F46"/>
    <w:rsid w:val="0000223C"/>
    <w:rsid w:val="000034F0"/>
    <w:rsid w:val="00004165"/>
    <w:rsid w:val="00007D1E"/>
    <w:rsid w:val="00011098"/>
    <w:rsid w:val="000119CD"/>
    <w:rsid w:val="00012D05"/>
    <w:rsid w:val="0001311D"/>
    <w:rsid w:val="00013FA6"/>
    <w:rsid w:val="00016E04"/>
    <w:rsid w:val="00020BE9"/>
    <w:rsid w:val="00020C3D"/>
    <w:rsid w:val="00020C56"/>
    <w:rsid w:val="00021CEC"/>
    <w:rsid w:val="00021D3A"/>
    <w:rsid w:val="000237B0"/>
    <w:rsid w:val="00026ACC"/>
    <w:rsid w:val="0002752C"/>
    <w:rsid w:val="000275FB"/>
    <w:rsid w:val="000276C8"/>
    <w:rsid w:val="00030847"/>
    <w:rsid w:val="0003171D"/>
    <w:rsid w:val="00031886"/>
    <w:rsid w:val="00031B07"/>
    <w:rsid w:val="00031C1D"/>
    <w:rsid w:val="00031C76"/>
    <w:rsid w:val="00032BF8"/>
    <w:rsid w:val="0003399B"/>
    <w:rsid w:val="00033DD5"/>
    <w:rsid w:val="000356D7"/>
    <w:rsid w:val="00035C50"/>
    <w:rsid w:val="0003608A"/>
    <w:rsid w:val="000361E9"/>
    <w:rsid w:val="00036AA2"/>
    <w:rsid w:val="0003790F"/>
    <w:rsid w:val="0004256B"/>
    <w:rsid w:val="000425D6"/>
    <w:rsid w:val="00042C88"/>
    <w:rsid w:val="00043E09"/>
    <w:rsid w:val="00043E2D"/>
    <w:rsid w:val="00045778"/>
    <w:rsid w:val="000457A1"/>
    <w:rsid w:val="00050001"/>
    <w:rsid w:val="00051580"/>
    <w:rsid w:val="00051668"/>
    <w:rsid w:val="00052041"/>
    <w:rsid w:val="0005326A"/>
    <w:rsid w:val="00056975"/>
    <w:rsid w:val="00057685"/>
    <w:rsid w:val="00057CDF"/>
    <w:rsid w:val="000603AA"/>
    <w:rsid w:val="00060ACE"/>
    <w:rsid w:val="00061796"/>
    <w:rsid w:val="0006266D"/>
    <w:rsid w:val="00062E75"/>
    <w:rsid w:val="00063C4F"/>
    <w:rsid w:val="000641D2"/>
    <w:rsid w:val="00064312"/>
    <w:rsid w:val="00064966"/>
    <w:rsid w:val="00065506"/>
    <w:rsid w:val="00065A7E"/>
    <w:rsid w:val="00067E49"/>
    <w:rsid w:val="000706BA"/>
    <w:rsid w:val="00070B13"/>
    <w:rsid w:val="00071147"/>
    <w:rsid w:val="0007382E"/>
    <w:rsid w:val="000743B3"/>
    <w:rsid w:val="00074BD9"/>
    <w:rsid w:val="000766E1"/>
    <w:rsid w:val="00077032"/>
    <w:rsid w:val="00077FF6"/>
    <w:rsid w:val="00080D82"/>
    <w:rsid w:val="00081692"/>
    <w:rsid w:val="0008219B"/>
    <w:rsid w:val="00082C46"/>
    <w:rsid w:val="000848E0"/>
    <w:rsid w:val="00085A0E"/>
    <w:rsid w:val="00087548"/>
    <w:rsid w:val="00087788"/>
    <w:rsid w:val="000909AE"/>
    <w:rsid w:val="00090EB2"/>
    <w:rsid w:val="000911D7"/>
    <w:rsid w:val="000928A6"/>
    <w:rsid w:val="00093A13"/>
    <w:rsid w:val="00093E7E"/>
    <w:rsid w:val="00094CA3"/>
    <w:rsid w:val="00096FA9"/>
    <w:rsid w:val="00097D68"/>
    <w:rsid w:val="000A1830"/>
    <w:rsid w:val="000A2E10"/>
    <w:rsid w:val="000A4121"/>
    <w:rsid w:val="000A4AA3"/>
    <w:rsid w:val="000A550E"/>
    <w:rsid w:val="000B0960"/>
    <w:rsid w:val="000B1A55"/>
    <w:rsid w:val="000B20BB"/>
    <w:rsid w:val="000B2EF6"/>
    <w:rsid w:val="000B2FA6"/>
    <w:rsid w:val="000B375B"/>
    <w:rsid w:val="000B4AA0"/>
    <w:rsid w:val="000B65AD"/>
    <w:rsid w:val="000B6D28"/>
    <w:rsid w:val="000C0AF8"/>
    <w:rsid w:val="000C1789"/>
    <w:rsid w:val="000C2553"/>
    <w:rsid w:val="000C2D6F"/>
    <w:rsid w:val="000C3015"/>
    <w:rsid w:val="000C38C3"/>
    <w:rsid w:val="000C4549"/>
    <w:rsid w:val="000C4894"/>
    <w:rsid w:val="000C74FA"/>
    <w:rsid w:val="000D09FD"/>
    <w:rsid w:val="000D161A"/>
    <w:rsid w:val="000D19DE"/>
    <w:rsid w:val="000D29D5"/>
    <w:rsid w:val="000D44FB"/>
    <w:rsid w:val="000D574B"/>
    <w:rsid w:val="000D6CFC"/>
    <w:rsid w:val="000D78A9"/>
    <w:rsid w:val="000D7BBE"/>
    <w:rsid w:val="000D7EB0"/>
    <w:rsid w:val="000D7FC0"/>
    <w:rsid w:val="000E0B0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82D"/>
    <w:rsid w:val="001128E7"/>
    <w:rsid w:val="00113CD2"/>
    <w:rsid w:val="00113EDB"/>
    <w:rsid w:val="001142F2"/>
    <w:rsid w:val="001177F9"/>
    <w:rsid w:val="00117BD6"/>
    <w:rsid w:val="001206C2"/>
    <w:rsid w:val="00120B44"/>
    <w:rsid w:val="00121978"/>
    <w:rsid w:val="00123422"/>
    <w:rsid w:val="00124B6A"/>
    <w:rsid w:val="0012531C"/>
    <w:rsid w:val="00127826"/>
    <w:rsid w:val="00130462"/>
    <w:rsid w:val="0013046A"/>
    <w:rsid w:val="001313A7"/>
    <w:rsid w:val="001314D4"/>
    <w:rsid w:val="00131506"/>
    <w:rsid w:val="001330DA"/>
    <w:rsid w:val="00133178"/>
    <w:rsid w:val="00135CD4"/>
    <w:rsid w:val="00136563"/>
    <w:rsid w:val="00136D4C"/>
    <w:rsid w:val="0013725E"/>
    <w:rsid w:val="00140388"/>
    <w:rsid w:val="00142538"/>
    <w:rsid w:val="00142BB9"/>
    <w:rsid w:val="00143F87"/>
    <w:rsid w:val="00144F96"/>
    <w:rsid w:val="0014584C"/>
    <w:rsid w:val="00147530"/>
    <w:rsid w:val="00150602"/>
    <w:rsid w:val="00151884"/>
    <w:rsid w:val="00151EAC"/>
    <w:rsid w:val="00152418"/>
    <w:rsid w:val="00153528"/>
    <w:rsid w:val="00154E68"/>
    <w:rsid w:val="00155B14"/>
    <w:rsid w:val="00155B1D"/>
    <w:rsid w:val="001569E8"/>
    <w:rsid w:val="0015758A"/>
    <w:rsid w:val="00157FF0"/>
    <w:rsid w:val="00157FFB"/>
    <w:rsid w:val="0016096A"/>
    <w:rsid w:val="0016193C"/>
    <w:rsid w:val="00162548"/>
    <w:rsid w:val="00165B51"/>
    <w:rsid w:val="00165EA2"/>
    <w:rsid w:val="00165FC7"/>
    <w:rsid w:val="001679D3"/>
    <w:rsid w:val="001706F3"/>
    <w:rsid w:val="00172183"/>
    <w:rsid w:val="001747E2"/>
    <w:rsid w:val="00174A31"/>
    <w:rsid w:val="001751AB"/>
    <w:rsid w:val="001751B1"/>
    <w:rsid w:val="00175A3F"/>
    <w:rsid w:val="00176978"/>
    <w:rsid w:val="00180E09"/>
    <w:rsid w:val="00181267"/>
    <w:rsid w:val="00181E65"/>
    <w:rsid w:val="001835F6"/>
    <w:rsid w:val="00183D4C"/>
    <w:rsid w:val="00183F6D"/>
    <w:rsid w:val="00184744"/>
    <w:rsid w:val="0018493D"/>
    <w:rsid w:val="00184C1E"/>
    <w:rsid w:val="00185A23"/>
    <w:rsid w:val="00186013"/>
    <w:rsid w:val="0018670E"/>
    <w:rsid w:val="00186951"/>
    <w:rsid w:val="00187EBD"/>
    <w:rsid w:val="001906AC"/>
    <w:rsid w:val="0019175A"/>
    <w:rsid w:val="0019219A"/>
    <w:rsid w:val="00193BD2"/>
    <w:rsid w:val="0019505C"/>
    <w:rsid w:val="00195077"/>
    <w:rsid w:val="00196A83"/>
    <w:rsid w:val="001A033F"/>
    <w:rsid w:val="001A08AA"/>
    <w:rsid w:val="001A1199"/>
    <w:rsid w:val="001A1876"/>
    <w:rsid w:val="001A59CB"/>
    <w:rsid w:val="001A7946"/>
    <w:rsid w:val="001B1A47"/>
    <w:rsid w:val="001B6141"/>
    <w:rsid w:val="001B6EDA"/>
    <w:rsid w:val="001B7991"/>
    <w:rsid w:val="001B7B49"/>
    <w:rsid w:val="001C001B"/>
    <w:rsid w:val="001C0C6D"/>
    <w:rsid w:val="001C1409"/>
    <w:rsid w:val="001C2AE6"/>
    <w:rsid w:val="001C3C52"/>
    <w:rsid w:val="001C4A89"/>
    <w:rsid w:val="001C5666"/>
    <w:rsid w:val="001C6177"/>
    <w:rsid w:val="001C66EA"/>
    <w:rsid w:val="001C702F"/>
    <w:rsid w:val="001D0363"/>
    <w:rsid w:val="001D0770"/>
    <w:rsid w:val="001D0C70"/>
    <w:rsid w:val="001D0E60"/>
    <w:rsid w:val="001D12B4"/>
    <w:rsid w:val="001D1B07"/>
    <w:rsid w:val="001D20D6"/>
    <w:rsid w:val="001D3A0B"/>
    <w:rsid w:val="001D63C0"/>
    <w:rsid w:val="001D766D"/>
    <w:rsid w:val="001D7D94"/>
    <w:rsid w:val="001E0A2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7BBD"/>
    <w:rsid w:val="00211745"/>
    <w:rsid w:val="002125C8"/>
    <w:rsid w:val="002133EE"/>
    <w:rsid w:val="002138EA"/>
    <w:rsid w:val="002139EA"/>
    <w:rsid w:val="00213C3C"/>
    <w:rsid w:val="00213F84"/>
    <w:rsid w:val="00214EA7"/>
    <w:rsid w:val="00214FBD"/>
    <w:rsid w:val="0021587A"/>
    <w:rsid w:val="00215C53"/>
    <w:rsid w:val="0021684F"/>
    <w:rsid w:val="00217529"/>
    <w:rsid w:val="002179AC"/>
    <w:rsid w:val="00221E08"/>
    <w:rsid w:val="00222897"/>
    <w:rsid w:val="00222B0C"/>
    <w:rsid w:val="00224045"/>
    <w:rsid w:val="002271B9"/>
    <w:rsid w:val="00230665"/>
    <w:rsid w:val="00230E58"/>
    <w:rsid w:val="00231C1B"/>
    <w:rsid w:val="00231DE0"/>
    <w:rsid w:val="00232F1F"/>
    <w:rsid w:val="00233FD8"/>
    <w:rsid w:val="0023481C"/>
    <w:rsid w:val="00235394"/>
    <w:rsid w:val="00235577"/>
    <w:rsid w:val="002371B2"/>
    <w:rsid w:val="0023778D"/>
    <w:rsid w:val="002407E9"/>
    <w:rsid w:val="002412A4"/>
    <w:rsid w:val="00242A55"/>
    <w:rsid w:val="002434AB"/>
    <w:rsid w:val="002435CA"/>
    <w:rsid w:val="00243CFA"/>
    <w:rsid w:val="0024469F"/>
    <w:rsid w:val="002447D5"/>
    <w:rsid w:val="00247644"/>
    <w:rsid w:val="00250B5B"/>
    <w:rsid w:val="00252DB8"/>
    <w:rsid w:val="002537BC"/>
    <w:rsid w:val="002545B1"/>
    <w:rsid w:val="00255C58"/>
    <w:rsid w:val="00255EBB"/>
    <w:rsid w:val="00260281"/>
    <w:rsid w:val="00260884"/>
    <w:rsid w:val="00260EC7"/>
    <w:rsid w:val="00261539"/>
    <w:rsid w:val="0026179F"/>
    <w:rsid w:val="00261982"/>
    <w:rsid w:val="0026278B"/>
    <w:rsid w:val="002633B3"/>
    <w:rsid w:val="002666AE"/>
    <w:rsid w:val="00267A1A"/>
    <w:rsid w:val="00267C8E"/>
    <w:rsid w:val="00267D78"/>
    <w:rsid w:val="00267F44"/>
    <w:rsid w:val="00274E1A"/>
    <w:rsid w:val="00274E25"/>
    <w:rsid w:val="0027643D"/>
    <w:rsid w:val="002775B1"/>
    <w:rsid w:val="002775B9"/>
    <w:rsid w:val="002811C4"/>
    <w:rsid w:val="00282213"/>
    <w:rsid w:val="00282740"/>
    <w:rsid w:val="00283755"/>
    <w:rsid w:val="00284016"/>
    <w:rsid w:val="002858BF"/>
    <w:rsid w:val="002904FA"/>
    <w:rsid w:val="00290643"/>
    <w:rsid w:val="00291512"/>
    <w:rsid w:val="00291EAC"/>
    <w:rsid w:val="00293075"/>
    <w:rsid w:val="002939AF"/>
    <w:rsid w:val="00294491"/>
    <w:rsid w:val="00294888"/>
    <w:rsid w:val="00294BDE"/>
    <w:rsid w:val="002979FA"/>
    <w:rsid w:val="00297E27"/>
    <w:rsid w:val="002A087A"/>
    <w:rsid w:val="002A0CED"/>
    <w:rsid w:val="002A1645"/>
    <w:rsid w:val="002A185F"/>
    <w:rsid w:val="002A282D"/>
    <w:rsid w:val="002A372E"/>
    <w:rsid w:val="002A495E"/>
    <w:rsid w:val="002A4CD0"/>
    <w:rsid w:val="002A5775"/>
    <w:rsid w:val="002A5DD9"/>
    <w:rsid w:val="002A7DA6"/>
    <w:rsid w:val="002B0ED4"/>
    <w:rsid w:val="002B1FDB"/>
    <w:rsid w:val="002B516C"/>
    <w:rsid w:val="002B5E1D"/>
    <w:rsid w:val="002B60C1"/>
    <w:rsid w:val="002B6C49"/>
    <w:rsid w:val="002B73B8"/>
    <w:rsid w:val="002B7C72"/>
    <w:rsid w:val="002C15A5"/>
    <w:rsid w:val="002C1774"/>
    <w:rsid w:val="002C4B52"/>
    <w:rsid w:val="002C4D02"/>
    <w:rsid w:val="002C4E84"/>
    <w:rsid w:val="002C6E1B"/>
    <w:rsid w:val="002D0367"/>
    <w:rsid w:val="002D03E5"/>
    <w:rsid w:val="002D243D"/>
    <w:rsid w:val="002D2C49"/>
    <w:rsid w:val="002D36EB"/>
    <w:rsid w:val="002D37C8"/>
    <w:rsid w:val="002D439A"/>
    <w:rsid w:val="002D6BDF"/>
    <w:rsid w:val="002D7751"/>
    <w:rsid w:val="002E1301"/>
    <w:rsid w:val="002E1AE3"/>
    <w:rsid w:val="002E2CE9"/>
    <w:rsid w:val="002E3BF7"/>
    <w:rsid w:val="002E403E"/>
    <w:rsid w:val="002E4659"/>
    <w:rsid w:val="002E4C74"/>
    <w:rsid w:val="002E5E7E"/>
    <w:rsid w:val="002F102A"/>
    <w:rsid w:val="002F158C"/>
    <w:rsid w:val="002F2073"/>
    <w:rsid w:val="002F2FC6"/>
    <w:rsid w:val="002F38C4"/>
    <w:rsid w:val="002F4093"/>
    <w:rsid w:val="002F5636"/>
    <w:rsid w:val="002F6D07"/>
    <w:rsid w:val="002F71C9"/>
    <w:rsid w:val="003022A5"/>
    <w:rsid w:val="00302F7B"/>
    <w:rsid w:val="003031AA"/>
    <w:rsid w:val="003035FF"/>
    <w:rsid w:val="00305D6C"/>
    <w:rsid w:val="00306F2B"/>
    <w:rsid w:val="00307E51"/>
    <w:rsid w:val="00310268"/>
    <w:rsid w:val="003111F0"/>
    <w:rsid w:val="00311363"/>
    <w:rsid w:val="00311B65"/>
    <w:rsid w:val="00311D1C"/>
    <w:rsid w:val="00312BAD"/>
    <w:rsid w:val="00314166"/>
    <w:rsid w:val="00315386"/>
    <w:rsid w:val="0031552D"/>
    <w:rsid w:val="00315867"/>
    <w:rsid w:val="00315DA2"/>
    <w:rsid w:val="003167E6"/>
    <w:rsid w:val="00321150"/>
    <w:rsid w:val="00324AFE"/>
    <w:rsid w:val="00324D07"/>
    <w:rsid w:val="003260D7"/>
    <w:rsid w:val="00331788"/>
    <w:rsid w:val="00334E7F"/>
    <w:rsid w:val="003352BF"/>
    <w:rsid w:val="00336697"/>
    <w:rsid w:val="00337133"/>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660F"/>
    <w:rsid w:val="003570CC"/>
    <w:rsid w:val="00357613"/>
    <w:rsid w:val="00361525"/>
    <w:rsid w:val="003628B9"/>
    <w:rsid w:val="00362D8F"/>
    <w:rsid w:val="0036457D"/>
    <w:rsid w:val="003646F1"/>
    <w:rsid w:val="00365097"/>
    <w:rsid w:val="00365577"/>
    <w:rsid w:val="003656FC"/>
    <w:rsid w:val="003670F1"/>
    <w:rsid w:val="00367724"/>
    <w:rsid w:val="003710BA"/>
    <w:rsid w:val="00373B91"/>
    <w:rsid w:val="00375DDE"/>
    <w:rsid w:val="0037643B"/>
    <w:rsid w:val="00376F68"/>
    <w:rsid w:val="003770F6"/>
    <w:rsid w:val="003804E6"/>
    <w:rsid w:val="0038138A"/>
    <w:rsid w:val="003819FB"/>
    <w:rsid w:val="00383E37"/>
    <w:rsid w:val="0038500A"/>
    <w:rsid w:val="003857E2"/>
    <w:rsid w:val="00387462"/>
    <w:rsid w:val="003900A3"/>
    <w:rsid w:val="00393042"/>
    <w:rsid w:val="0039437A"/>
    <w:rsid w:val="00394AD5"/>
    <w:rsid w:val="0039642D"/>
    <w:rsid w:val="00396F77"/>
    <w:rsid w:val="00397665"/>
    <w:rsid w:val="003A1CC5"/>
    <w:rsid w:val="003A2E40"/>
    <w:rsid w:val="003A7D34"/>
    <w:rsid w:val="003B0158"/>
    <w:rsid w:val="003B322B"/>
    <w:rsid w:val="003B40B6"/>
    <w:rsid w:val="003B485F"/>
    <w:rsid w:val="003B56DB"/>
    <w:rsid w:val="003B755E"/>
    <w:rsid w:val="003C0742"/>
    <w:rsid w:val="003C228E"/>
    <w:rsid w:val="003C290F"/>
    <w:rsid w:val="003C3997"/>
    <w:rsid w:val="003C400B"/>
    <w:rsid w:val="003C519D"/>
    <w:rsid w:val="003C51E7"/>
    <w:rsid w:val="003C668D"/>
    <w:rsid w:val="003C6893"/>
    <w:rsid w:val="003C6DE2"/>
    <w:rsid w:val="003D01B1"/>
    <w:rsid w:val="003D1EFD"/>
    <w:rsid w:val="003D2319"/>
    <w:rsid w:val="003D28BF"/>
    <w:rsid w:val="003D363E"/>
    <w:rsid w:val="003D4215"/>
    <w:rsid w:val="003D4C47"/>
    <w:rsid w:val="003D5CA5"/>
    <w:rsid w:val="003D7719"/>
    <w:rsid w:val="003D7F28"/>
    <w:rsid w:val="003E064F"/>
    <w:rsid w:val="003E40EE"/>
    <w:rsid w:val="003E4115"/>
    <w:rsid w:val="003E4A75"/>
    <w:rsid w:val="003E65BB"/>
    <w:rsid w:val="003E6999"/>
    <w:rsid w:val="003F1C1B"/>
    <w:rsid w:val="003F1F58"/>
    <w:rsid w:val="003F3256"/>
    <w:rsid w:val="003F3A2F"/>
    <w:rsid w:val="004005C0"/>
    <w:rsid w:val="00401144"/>
    <w:rsid w:val="00404831"/>
    <w:rsid w:val="004054E9"/>
    <w:rsid w:val="004067EC"/>
    <w:rsid w:val="00406FAE"/>
    <w:rsid w:val="00407661"/>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497"/>
    <w:rsid w:val="00430EA5"/>
    <w:rsid w:val="0043307B"/>
    <w:rsid w:val="00433112"/>
    <w:rsid w:val="00434DC1"/>
    <w:rsid w:val="004350F4"/>
    <w:rsid w:val="0043524D"/>
    <w:rsid w:val="00440CC2"/>
    <w:rsid w:val="004411FE"/>
    <w:rsid w:val="004412A0"/>
    <w:rsid w:val="00442337"/>
    <w:rsid w:val="004437FE"/>
    <w:rsid w:val="0044420A"/>
    <w:rsid w:val="00445062"/>
    <w:rsid w:val="00445650"/>
    <w:rsid w:val="00446408"/>
    <w:rsid w:val="00446B93"/>
    <w:rsid w:val="00446D78"/>
    <w:rsid w:val="00450A6D"/>
    <w:rsid w:val="00450F27"/>
    <w:rsid w:val="004510E5"/>
    <w:rsid w:val="00453083"/>
    <w:rsid w:val="00453EE9"/>
    <w:rsid w:val="00455CAA"/>
    <w:rsid w:val="004561DD"/>
    <w:rsid w:val="00456A75"/>
    <w:rsid w:val="004610B2"/>
    <w:rsid w:val="00461260"/>
    <w:rsid w:val="00461E39"/>
    <w:rsid w:val="00462D04"/>
    <w:rsid w:val="00462D3A"/>
    <w:rsid w:val="00463391"/>
    <w:rsid w:val="00463521"/>
    <w:rsid w:val="00465293"/>
    <w:rsid w:val="004653BF"/>
    <w:rsid w:val="00466856"/>
    <w:rsid w:val="00466BC1"/>
    <w:rsid w:val="00467659"/>
    <w:rsid w:val="00471125"/>
    <w:rsid w:val="004741BC"/>
    <w:rsid w:val="0047437A"/>
    <w:rsid w:val="00475D1A"/>
    <w:rsid w:val="00475D38"/>
    <w:rsid w:val="004765AE"/>
    <w:rsid w:val="00480E42"/>
    <w:rsid w:val="00481122"/>
    <w:rsid w:val="004841B8"/>
    <w:rsid w:val="00484C5D"/>
    <w:rsid w:val="0048543E"/>
    <w:rsid w:val="004868C1"/>
    <w:rsid w:val="0048750F"/>
    <w:rsid w:val="00490FEE"/>
    <w:rsid w:val="00492913"/>
    <w:rsid w:val="004931C9"/>
    <w:rsid w:val="00494016"/>
    <w:rsid w:val="004966C8"/>
    <w:rsid w:val="00496F0B"/>
    <w:rsid w:val="00497E96"/>
    <w:rsid w:val="004A0A48"/>
    <w:rsid w:val="004A1538"/>
    <w:rsid w:val="004A17E9"/>
    <w:rsid w:val="004A495F"/>
    <w:rsid w:val="004A6774"/>
    <w:rsid w:val="004A6D06"/>
    <w:rsid w:val="004A7544"/>
    <w:rsid w:val="004B2C28"/>
    <w:rsid w:val="004B38CF"/>
    <w:rsid w:val="004B6B0F"/>
    <w:rsid w:val="004B6E67"/>
    <w:rsid w:val="004B74EC"/>
    <w:rsid w:val="004C0450"/>
    <w:rsid w:val="004C14C1"/>
    <w:rsid w:val="004C2156"/>
    <w:rsid w:val="004C28A7"/>
    <w:rsid w:val="004C368C"/>
    <w:rsid w:val="004C54E5"/>
    <w:rsid w:val="004C5A89"/>
    <w:rsid w:val="004C7DC8"/>
    <w:rsid w:val="004D1488"/>
    <w:rsid w:val="004D21B0"/>
    <w:rsid w:val="004D252B"/>
    <w:rsid w:val="004D5689"/>
    <w:rsid w:val="004D5785"/>
    <w:rsid w:val="004D6673"/>
    <w:rsid w:val="004D6F05"/>
    <w:rsid w:val="004D737D"/>
    <w:rsid w:val="004E174D"/>
    <w:rsid w:val="004E1F66"/>
    <w:rsid w:val="004E2659"/>
    <w:rsid w:val="004E39EE"/>
    <w:rsid w:val="004E475C"/>
    <w:rsid w:val="004E56E0"/>
    <w:rsid w:val="004E7329"/>
    <w:rsid w:val="004F2CB0"/>
    <w:rsid w:val="004F306F"/>
    <w:rsid w:val="004F5840"/>
    <w:rsid w:val="00500010"/>
    <w:rsid w:val="005017F7"/>
    <w:rsid w:val="00501FA7"/>
    <w:rsid w:val="0050229A"/>
    <w:rsid w:val="00502E59"/>
    <w:rsid w:val="005034DC"/>
    <w:rsid w:val="00503AED"/>
    <w:rsid w:val="0050576A"/>
    <w:rsid w:val="00505BFA"/>
    <w:rsid w:val="0050647E"/>
    <w:rsid w:val="005071B4"/>
    <w:rsid w:val="00507687"/>
    <w:rsid w:val="005111D4"/>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308DB"/>
    <w:rsid w:val="00530A2E"/>
    <w:rsid w:val="00530FBE"/>
    <w:rsid w:val="00533159"/>
    <w:rsid w:val="00533980"/>
    <w:rsid w:val="005339DB"/>
    <w:rsid w:val="00534436"/>
    <w:rsid w:val="00534C89"/>
    <w:rsid w:val="005352D5"/>
    <w:rsid w:val="00535D31"/>
    <w:rsid w:val="00536250"/>
    <w:rsid w:val="00541573"/>
    <w:rsid w:val="00542288"/>
    <w:rsid w:val="0054348A"/>
    <w:rsid w:val="005437FC"/>
    <w:rsid w:val="0054484D"/>
    <w:rsid w:val="00546596"/>
    <w:rsid w:val="00550B7C"/>
    <w:rsid w:val="00551DBD"/>
    <w:rsid w:val="00552CC4"/>
    <w:rsid w:val="00555D99"/>
    <w:rsid w:val="005617A1"/>
    <w:rsid w:val="0056464F"/>
    <w:rsid w:val="005649C4"/>
    <w:rsid w:val="0056559C"/>
    <w:rsid w:val="00565CDB"/>
    <w:rsid w:val="0056672E"/>
    <w:rsid w:val="005711EE"/>
    <w:rsid w:val="00571777"/>
    <w:rsid w:val="00571985"/>
    <w:rsid w:val="00571D1A"/>
    <w:rsid w:val="00573A8C"/>
    <w:rsid w:val="00575237"/>
    <w:rsid w:val="00575649"/>
    <w:rsid w:val="00580FF5"/>
    <w:rsid w:val="005828A8"/>
    <w:rsid w:val="00582CD2"/>
    <w:rsid w:val="00583359"/>
    <w:rsid w:val="00583590"/>
    <w:rsid w:val="00583F66"/>
    <w:rsid w:val="00584E8A"/>
    <w:rsid w:val="0058519C"/>
    <w:rsid w:val="00586754"/>
    <w:rsid w:val="005867EC"/>
    <w:rsid w:val="00586F85"/>
    <w:rsid w:val="0059149A"/>
    <w:rsid w:val="005915CA"/>
    <w:rsid w:val="00593144"/>
    <w:rsid w:val="005931CE"/>
    <w:rsid w:val="00593C92"/>
    <w:rsid w:val="005956EE"/>
    <w:rsid w:val="00597F9C"/>
    <w:rsid w:val="005A083E"/>
    <w:rsid w:val="005A0B17"/>
    <w:rsid w:val="005A16B7"/>
    <w:rsid w:val="005A1E41"/>
    <w:rsid w:val="005A2827"/>
    <w:rsid w:val="005A4C75"/>
    <w:rsid w:val="005A6B7D"/>
    <w:rsid w:val="005B1969"/>
    <w:rsid w:val="005B316C"/>
    <w:rsid w:val="005B4802"/>
    <w:rsid w:val="005B49C8"/>
    <w:rsid w:val="005B5F74"/>
    <w:rsid w:val="005B5FCC"/>
    <w:rsid w:val="005B6E20"/>
    <w:rsid w:val="005B700C"/>
    <w:rsid w:val="005C1EA6"/>
    <w:rsid w:val="005C2B16"/>
    <w:rsid w:val="005C5450"/>
    <w:rsid w:val="005C6671"/>
    <w:rsid w:val="005C7B22"/>
    <w:rsid w:val="005D039A"/>
    <w:rsid w:val="005D0B99"/>
    <w:rsid w:val="005D116B"/>
    <w:rsid w:val="005D1508"/>
    <w:rsid w:val="005D23BB"/>
    <w:rsid w:val="005D308E"/>
    <w:rsid w:val="005D3A48"/>
    <w:rsid w:val="005D4167"/>
    <w:rsid w:val="005D42A3"/>
    <w:rsid w:val="005D5CA1"/>
    <w:rsid w:val="005D669C"/>
    <w:rsid w:val="005D7481"/>
    <w:rsid w:val="005D7AF8"/>
    <w:rsid w:val="005E0F88"/>
    <w:rsid w:val="005E17BF"/>
    <w:rsid w:val="005E1CE5"/>
    <w:rsid w:val="005E2716"/>
    <w:rsid w:val="005E283F"/>
    <w:rsid w:val="005E366A"/>
    <w:rsid w:val="005E3AAC"/>
    <w:rsid w:val="005E44FB"/>
    <w:rsid w:val="005E4E8F"/>
    <w:rsid w:val="005E5E1E"/>
    <w:rsid w:val="005E7562"/>
    <w:rsid w:val="005F2145"/>
    <w:rsid w:val="005F382B"/>
    <w:rsid w:val="005F4D64"/>
    <w:rsid w:val="005F7415"/>
    <w:rsid w:val="005F7772"/>
    <w:rsid w:val="00601669"/>
    <w:rsid w:val="006016E1"/>
    <w:rsid w:val="00602D27"/>
    <w:rsid w:val="00603511"/>
    <w:rsid w:val="00603C0A"/>
    <w:rsid w:val="0060482B"/>
    <w:rsid w:val="00604FAA"/>
    <w:rsid w:val="006053AD"/>
    <w:rsid w:val="00610925"/>
    <w:rsid w:val="00612035"/>
    <w:rsid w:val="00613988"/>
    <w:rsid w:val="0061431E"/>
    <w:rsid w:val="006144A1"/>
    <w:rsid w:val="006152FB"/>
    <w:rsid w:val="00615EBB"/>
    <w:rsid w:val="00616096"/>
    <w:rsid w:val="006160A2"/>
    <w:rsid w:val="00616C91"/>
    <w:rsid w:val="00621A9B"/>
    <w:rsid w:val="00625F1E"/>
    <w:rsid w:val="00625FAC"/>
    <w:rsid w:val="00627364"/>
    <w:rsid w:val="006302AA"/>
    <w:rsid w:val="00632989"/>
    <w:rsid w:val="00634501"/>
    <w:rsid w:val="006348F0"/>
    <w:rsid w:val="006349DC"/>
    <w:rsid w:val="006351DA"/>
    <w:rsid w:val="0063533D"/>
    <w:rsid w:val="0063583D"/>
    <w:rsid w:val="006363BD"/>
    <w:rsid w:val="00636D18"/>
    <w:rsid w:val="006401C6"/>
    <w:rsid w:val="00640650"/>
    <w:rsid w:val="006412DC"/>
    <w:rsid w:val="006418C7"/>
    <w:rsid w:val="0064246C"/>
    <w:rsid w:val="00642BC6"/>
    <w:rsid w:val="00644790"/>
    <w:rsid w:val="00646AD1"/>
    <w:rsid w:val="006501AF"/>
    <w:rsid w:val="00650DDE"/>
    <w:rsid w:val="00651699"/>
    <w:rsid w:val="00653645"/>
    <w:rsid w:val="00653BCF"/>
    <w:rsid w:val="0065505B"/>
    <w:rsid w:val="006563AA"/>
    <w:rsid w:val="00660287"/>
    <w:rsid w:val="006649E9"/>
    <w:rsid w:val="00665CE4"/>
    <w:rsid w:val="006670AC"/>
    <w:rsid w:val="0067045B"/>
    <w:rsid w:val="00670967"/>
    <w:rsid w:val="00672307"/>
    <w:rsid w:val="0067306B"/>
    <w:rsid w:val="00674097"/>
    <w:rsid w:val="0067582A"/>
    <w:rsid w:val="006808C6"/>
    <w:rsid w:val="00680D13"/>
    <w:rsid w:val="00682668"/>
    <w:rsid w:val="00683367"/>
    <w:rsid w:val="0069053E"/>
    <w:rsid w:val="00690690"/>
    <w:rsid w:val="00690B10"/>
    <w:rsid w:val="00692A68"/>
    <w:rsid w:val="0069384A"/>
    <w:rsid w:val="0069389B"/>
    <w:rsid w:val="00695BB6"/>
    <w:rsid w:val="00695D85"/>
    <w:rsid w:val="006A0757"/>
    <w:rsid w:val="006A0A4D"/>
    <w:rsid w:val="006A30A2"/>
    <w:rsid w:val="006A3AA3"/>
    <w:rsid w:val="006A52DC"/>
    <w:rsid w:val="006A6D23"/>
    <w:rsid w:val="006A6ECB"/>
    <w:rsid w:val="006B05CD"/>
    <w:rsid w:val="006B25DE"/>
    <w:rsid w:val="006B3083"/>
    <w:rsid w:val="006B41C3"/>
    <w:rsid w:val="006B48F6"/>
    <w:rsid w:val="006C04D4"/>
    <w:rsid w:val="006C0A09"/>
    <w:rsid w:val="006C0E8E"/>
    <w:rsid w:val="006C1C3B"/>
    <w:rsid w:val="006C24A7"/>
    <w:rsid w:val="006C2C0B"/>
    <w:rsid w:val="006C4029"/>
    <w:rsid w:val="006C42CE"/>
    <w:rsid w:val="006C4E43"/>
    <w:rsid w:val="006C643E"/>
    <w:rsid w:val="006C64BF"/>
    <w:rsid w:val="006C7646"/>
    <w:rsid w:val="006D1A09"/>
    <w:rsid w:val="006D2932"/>
    <w:rsid w:val="006D3553"/>
    <w:rsid w:val="006D3671"/>
    <w:rsid w:val="006D4176"/>
    <w:rsid w:val="006D4B79"/>
    <w:rsid w:val="006D4B9B"/>
    <w:rsid w:val="006D4F9A"/>
    <w:rsid w:val="006D5C65"/>
    <w:rsid w:val="006D7286"/>
    <w:rsid w:val="006D788C"/>
    <w:rsid w:val="006D793E"/>
    <w:rsid w:val="006E046F"/>
    <w:rsid w:val="006E0A73"/>
    <w:rsid w:val="006E0FEE"/>
    <w:rsid w:val="006E26AD"/>
    <w:rsid w:val="006E375D"/>
    <w:rsid w:val="006E38C5"/>
    <w:rsid w:val="006E4434"/>
    <w:rsid w:val="006E4C5C"/>
    <w:rsid w:val="006E6C11"/>
    <w:rsid w:val="006F0AE8"/>
    <w:rsid w:val="006F1172"/>
    <w:rsid w:val="006F501B"/>
    <w:rsid w:val="006F7C0C"/>
    <w:rsid w:val="00700755"/>
    <w:rsid w:val="007023FB"/>
    <w:rsid w:val="00702C3E"/>
    <w:rsid w:val="00703C8B"/>
    <w:rsid w:val="00704C69"/>
    <w:rsid w:val="007052F1"/>
    <w:rsid w:val="00705E62"/>
    <w:rsid w:val="0070646B"/>
    <w:rsid w:val="00710F8F"/>
    <w:rsid w:val="007130A2"/>
    <w:rsid w:val="007152AC"/>
    <w:rsid w:val="00715463"/>
    <w:rsid w:val="00716725"/>
    <w:rsid w:val="00717EE8"/>
    <w:rsid w:val="0072269A"/>
    <w:rsid w:val="00723864"/>
    <w:rsid w:val="00723A0B"/>
    <w:rsid w:val="0072594E"/>
    <w:rsid w:val="007263FB"/>
    <w:rsid w:val="0072693E"/>
    <w:rsid w:val="0072721D"/>
    <w:rsid w:val="00727435"/>
    <w:rsid w:val="00727CA8"/>
    <w:rsid w:val="00730655"/>
    <w:rsid w:val="00730789"/>
    <w:rsid w:val="00731D77"/>
    <w:rsid w:val="00732360"/>
    <w:rsid w:val="0073270A"/>
    <w:rsid w:val="0073390A"/>
    <w:rsid w:val="00734E64"/>
    <w:rsid w:val="00735717"/>
    <w:rsid w:val="007364AA"/>
    <w:rsid w:val="00736B37"/>
    <w:rsid w:val="0074069B"/>
    <w:rsid w:val="00740788"/>
    <w:rsid w:val="00740A35"/>
    <w:rsid w:val="00740C30"/>
    <w:rsid w:val="007418B9"/>
    <w:rsid w:val="0074587D"/>
    <w:rsid w:val="007473EA"/>
    <w:rsid w:val="007520B4"/>
    <w:rsid w:val="007527E8"/>
    <w:rsid w:val="007541E1"/>
    <w:rsid w:val="0075497B"/>
    <w:rsid w:val="00754FA0"/>
    <w:rsid w:val="007559FF"/>
    <w:rsid w:val="00757133"/>
    <w:rsid w:val="00757FA8"/>
    <w:rsid w:val="007610C0"/>
    <w:rsid w:val="007625AD"/>
    <w:rsid w:val="0076386A"/>
    <w:rsid w:val="00765112"/>
    <w:rsid w:val="007655D5"/>
    <w:rsid w:val="00766E44"/>
    <w:rsid w:val="00766FF2"/>
    <w:rsid w:val="00772A2C"/>
    <w:rsid w:val="00772DDA"/>
    <w:rsid w:val="00773DD4"/>
    <w:rsid w:val="00774422"/>
    <w:rsid w:val="0077464F"/>
    <w:rsid w:val="00774CF1"/>
    <w:rsid w:val="00775126"/>
    <w:rsid w:val="007755A4"/>
    <w:rsid w:val="00776377"/>
    <w:rsid w:val="007763C1"/>
    <w:rsid w:val="007777D1"/>
    <w:rsid w:val="00777E82"/>
    <w:rsid w:val="00777EE5"/>
    <w:rsid w:val="00777EEE"/>
    <w:rsid w:val="0078001B"/>
    <w:rsid w:val="007801DA"/>
    <w:rsid w:val="00781359"/>
    <w:rsid w:val="00781607"/>
    <w:rsid w:val="007825BC"/>
    <w:rsid w:val="00785164"/>
    <w:rsid w:val="00785541"/>
    <w:rsid w:val="00785ADA"/>
    <w:rsid w:val="00785AF1"/>
    <w:rsid w:val="00786921"/>
    <w:rsid w:val="00790833"/>
    <w:rsid w:val="007913F1"/>
    <w:rsid w:val="0079196D"/>
    <w:rsid w:val="00791EAB"/>
    <w:rsid w:val="0079370E"/>
    <w:rsid w:val="00797742"/>
    <w:rsid w:val="007A1EAA"/>
    <w:rsid w:val="007A357E"/>
    <w:rsid w:val="007A4AC6"/>
    <w:rsid w:val="007A6155"/>
    <w:rsid w:val="007A6F8E"/>
    <w:rsid w:val="007A724C"/>
    <w:rsid w:val="007A79FD"/>
    <w:rsid w:val="007A7E90"/>
    <w:rsid w:val="007B0B9D"/>
    <w:rsid w:val="007B15E3"/>
    <w:rsid w:val="007B18DA"/>
    <w:rsid w:val="007B26E3"/>
    <w:rsid w:val="007B2A25"/>
    <w:rsid w:val="007B32E1"/>
    <w:rsid w:val="007B5A43"/>
    <w:rsid w:val="007B6E53"/>
    <w:rsid w:val="007B709B"/>
    <w:rsid w:val="007C1343"/>
    <w:rsid w:val="007C3194"/>
    <w:rsid w:val="007C3528"/>
    <w:rsid w:val="007C39D8"/>
    <w:rsid w:val="007C3F6A"/>
    <w:rsid w:val="007C58AF"/>
    <w:rsid w:val="007C5CC0"/>
    <w:rsid w:val="007C5EF1"/>
    <w:rsid w:val="007C6850"/>
    <w:rsid w:val="007C6CD0"/>
    <w:rsid w:val="007C7BF5"/>
    <w:rsid w:val="007D0537"/>
    <w:rsid w:val="007D0949"/>
    <w:rsid w:val="007D19B7"/>
    <w:rsid w:val="007D313C"/>
    <w:rsid w:val="007D3356"/>
    <w:rsid w:val="007D3A88"/>
    <w:rsid w:val="007D5E7E"/>
    <w:rsid w:val="007D5F59"/>
    <w:rsid w:val="007D705C"/>
    <w:rsid w:val="007D75E5"/>
    <w:rsid w:val="007D773E"/>
    <w:rsid w:val="007D7C88"/>
    <w:rsid w:val="007E066E"/>
    <w:rsid w:val="007E1356"/>
    <w:rsid w:val="007E20FC"/>
    <w:rsid w:val="007E25AB"/>
    <w:rsid w:val="007E302E"/>
    <w:rsid w:val="007E4021"/>
    <w:rsid w:val="007E7062"/>
    <w:rsid w:val="007F03BA"/>
    <w:rsid w:val="007F0E1E"/>
    <w:rsid w:val="007F29A7"/>
    <w:rsid w:val="007F33C4"/>
    <w:rsid w:val="007F38A5"/>
    <w:rsid w:val="007F5FA2"/>
    <w:rsid w:val="008004B4"/>
    <w:rsid w:val="008004F5"/>
    <w:rsid w:val="00805BE8"/>
    <w:rsid w:val="00806A7B"/>
    <w:rsid w:val="00811E6A"/>
    <w:rsid w:val="008154B5"/>
    <w:rsid w:val="00815A8C"/>
    <w:rsid w:val="00815D72"/>
    <w:rsid w:val="00816078"/>
    <w:rsid w:val="00816646"/>
    <w:rsid w:val="008174A5"/>
    <w:rsid w:val="008177E3"/>
    <w:rsid w:val="0082072C"/>
    <w:rsid w:val="00821664"/>
    <w:rsid w:val="00821B65"/>
    <w:rsid w:val="008223C8"/>
    <w:rsid w:val="0082242A"/>
    <w:rsid w:val="00823551"/>
    <w:rsid w:val="00823AA9"/>
    <w:rsid w:val="00823E8E"/>
    <w:rsid w:val="00823F76"/>
    <w:rsid w:val="008247A7"/>
    <w:rsid w:val="00825202"/>
    <w:rsid w:val="008255B9"/>
    <w:rsid w:val="00825CD8"/>
    <w:rsid w:val="00826BF6"/>
    <w:rsid w:val="00827324"/>
    <w:rsid w:val="00831AFE"/>
    <w:rsid w:val="008324F6"/>
    <w:rsid w:val="00832996"/>
    <w:rsid w:val="00832C92"/>
    <w:rsid w:val="00833B31"/>
    <w:rsid w:val="00833C61"/>
    <w:rsid w:val="008355EA"/>
    <w:rsid w:val="00837458"/>
    <w:rsid w:val="00837AAE"/>
    <w:rsid w:val="00841224"/>
    <w:rsid w:val="008429AD"/>
    <w:rsid w:val="008429DB"/>
    <w:rsid w:val="00842E43"/>
    <w:rsid w:val="00843A73"/>
    <w:rsid w:val="00843E71"/>
    <w:rsid w:val="008441B3"/>
    <w:rsid w:val="0084423B"/>
    <w:rsid w:val="00844D3B"/>
    <w:rsid w:val="00846FBC"/>
    <w:rsid w:val="008472B8"/>
    <w:rsid w:val="00847E90"/>
    <w:rsid w:val="008504EA"/>
    <w:rsid w:val="008509F5"/>
    <w:rsid w:val="00850A59"/>
    <w:rsid w:val="00850C75"/>
    <w:rsid w:val="00850E39"/>
    <w:rsid w:val="00851A1A"/>
    <w:rsid w:val="008529A3"/>
    <w:rsid w:val="0085477A"/>
    <w:rsid w:val="00855107"/>
    <w:rsid w:val="00855173"/>
    <w:rsid w:val="008557D9"/>
    <w:rsid w:val="00855BF7"/>
    <w:rsid w:val="00856214"/>
    <w:rsid w:val="008565C6"/>
    <w:rsid w:val="00860ED0"/>
    <w:rsid w:val="00861731"/>
    <w:rsid w:val="00862089"/>
    <w:rsid w:val="00863554"/>
    <w:rsid w:val="00863DE4"/>
    <w:rsid w:val="008642AF"/>
    <w:rsid w:val="00864CD6"/>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6FE7"/>
    <w:rsid w:val="008874A8"/>
    <w:rsid w:val="00887AA2"/>
    <w:rsid w:val="00891EE1"/>
    <w:rsid w:val="00892801"/>
    <w:rsid w:val="00893987"/>
    <w:rsid w:val="008942E8"/>
    <w:rsid w:val="00894E46"/>
    <w:rsid w:val="00894EF3"/>
    <w:rsid w:val="00895A0C"/>
    <w:rsid w:val="00895A20"/>
    <w:rsid w:val="008963EF"/>
    <w:rsid w:val="0089688E"/>
    <w:rsid w:val="00896F90"/>
    <w:rsid w:val="008A10D4"/>
    <w:rsid w:val="008A1FBE"/>
    <w:rsid w:val="008A3B26"/>
    <w:rsid w:val="008A4D0E"/>
    <w:rsid w:val="008A6559"/>
    <w:rsid w:val="008A6CED"/>
    <w:rsid w:val="008A7075"/>
    <w:rsid w:val="008B20DA"/>
    <w:rsid w:val="008B3194"/>
    <w:rsid w:val="008B400A"/>
    <w:rsid w:val="008B4872"/>
    <w:rsid w:val="008B5044"/>
    <w:rsid w:val="008B575A"/>
    <w:rsid w:val="008B5AE7"/>
    <w:rsid w:val="008C1221"/>
    <w:rsid w:val="008C18B6"/>
    <w:rsid w:val="008C309B"/>
    <w:rsid w:val="008C3362"/>
    <w:rsid w:val="008C4310"/>
    <w:rsid w:val="008C60E9"/>
    <w:rsid w:val="008D00EC"/>
    <w:rsid w:val="008D02F6"/>
    <w:rsid w:val="008D0872"/>
    <w:rsid w:val="008D1B7C"/>
    <w:rsid w:val="008D30DD"/>
    <w:rsid w:val="008D3A9C"/>
    <w:rsid w:val="008D482F"/>
    <w:rsid w:val="008D6657"/>
    <w:rsid w:val="008D6F64"/>
    <w:rsid w:val="008D710C"/>
    <w:rsid w:val="008E00AF"/>
    <w:rsid w:val="008E0BFD"/>
    <w:rsid w:val="008E116F"/>
    <w:rsid w:val="008E1F60"/>
    <w:rsid w:val="008E1F69"/>
    <w:rsid w:val="008E2F7B"/>
    <w:rsid w:val="008E307E"/>
    <w:rsid w:val="008E417C"/>
    <w:rsid w:val="008E6C1B"/>
    <w:rsid w:val="008E7554"/>
    <w:rsid w:val="008E7D85"/>
    <w:rsid w:val="008F24BA"/>
    <w:rsid w:val="008F2C77"/>
    <w:rsid w:val="008F3FB6"/>
    <w:rsid w:val="008F4DD1"/>
    <w:rsid w:val="008F5166"/>
    <w:rsid w:val="008F6056"/>
    <w:rsid w:val="008F61F0"/>
    <w:rsid w:val="009005D2"/>
    <w:rsid w:val="00900CA9"/>
    <w:rsid w:val="00902C07"/>
    <w:rsid w:val="00903435"/>
    <w:rsid w:val="009053D3"/>
    <w:rsid w:val="009054A0"/>
    <w:rsid w:val="00905804"/>
    <w:rsid w:val="00906037"/>
    <w:rsid w:val="0090713C"/>
    <w:rsid w:val="00907BA6"/>
    <w:rsid w:val="009101E2"/>
    <w:rsid w:val="00910490"/>
    <w:rsid w:val="00911BDD"/>
    <w:rsid w:val="009123EE"/>
    <w:rsid w:val="009127D2"/>
    <w:rsid w:val="009147F6"/>
    <w:rsid w:val="00915D73"/>
    <w:rsid w:val="00916077"/>
    <w:rsid w:val="009170A2"/>
    <w:rsid w:val="00917BAD"/>
    <w:rsid w:val="009208A6"/>
    <w:rsid w:val="0092315A"/>
    <w:rsid w:val="00924514"/>
    <w:rsid w:val="009247F1"/>
    <w:rsid w:val="00927316"/>
    <w:rsid w:val="009311D9"/>
    <w:rsid w:val="0093133D"/>
    <w:rsid w:val="0093152E"/>
    <w:rsid w:val="0093276D"/>
    <w:rsid w:val="00932A02"/>
    <w:rsid w:val="0093348E"/>
    <w:rsid w:val="00933D12"/>
    <w:rsid w:val="00934258"/>
    <w:rsid w:val="009362EA"/>
    <w:rsid w:val="00937065"/>
    <w:rsid w:val="00940285"/>
    <w:rsid w:val="00940731"/>
    <w:rsid w:val="009415B0"/>
    <w:rsid w:val="00942843"/>
    <w:rsid w:val="0094423C"/>
    <w:rsid w:val="00945A91"/>
    <w:rsid w:val="00946332"/>
    <w:rsid w:val="0094635D"/>
    <w:rsid w:val="009469C4"/>
    <w:rsid w:val="00947E7E"/>
    <w:rsid w:val="009509E5"/>
    <w:rsid w:val="0095139A"/>
    <w:rsid w:val="00951740"/>
    <w:rsid w:val="00953E16"/>
    <w:rsid w:val="009542AC"/>
    <w:rsid w:val="0095690D"/>
    <w:rsid w:val="0095701A"/>
    <w:rsid w:val="00957612"/>
    <w:rsid w:val="00960AFB"/>
    <w:rsid w:val="0096143B"/>
    <w:rsid w:val="00961BB2"/>
    <w:rsid w:val="00962108"/>
    <w:rsid w:val="00963023"/>
    <w:rsid w:val="009638D6"/>
    <w:rsid w:val="00964D67"/>
    <w:rsid w:val="00966D4C"/>
    <w:rsid w:val="00967052"/>
    <w:rsid w:val="009674CF"/>
    <w:rsid w:val="00967F36"/>
    <w:rsid w:val="0097408E"/>
    <w:rsid w:val="00974BB2"/>
    <w:rsid w:val="00974FA7"/>
    <w:rsid w:val="009756E5"/>
    <w:rsid w:val="009762FE"/>
    <w:rsid w:val="00976CD8"/>
    <w:rsid w:val="00977A8C"/>
    <w:rsid w:val="0098044A"/>
    <w:rsid w:val="0098135C"/>
    <w:rsid w:val="009819D2"/>
    <w:rsid w:val="00983910"/>
    <w:rsid w:val="00983BC7"/>
    <w:rsid w:val="00984234"/>
    <w:rsid w:val="00984E27"/>
    <w:rsid w:val="00985171"/>
    <w:rsid w:val="00985FC0"/>
    <w:rsid w:val="00990DEF"/>
    <w:rsid w:val="00991BDF"/>
    <w:rsid w:val="0099307E"/>
    <w:rsid w:val="009932AC"/>
    <w:rsid w:val="00994351"/>
    <w:rsid w:val="00994646"/>
    <w:rsid w:val="009946D4"/>
    <w:rsid w:val="00994E39"/>
    <w:rsid w:val="00995B56"/>
    <w:rsid w:val="00996794"/>
    <w:rsid w:val="00996A8F"/>
    <w:rsid w:val="009A03CE"/>
    <w:rsid w:val="009A03EB"/>
    <w:rsid w:val="009A09C7"/>
    <w:rsid w:val="009A1DBF"/>
    <w:rsid w:val="009A219E"/>
    <w:rsid w:val="009A275E"/>
    <w:rsid w:val="009A68E6"/>
    <w:rsid w:val="009A712F"/>
    <w:rsid w:val="009A7598"/>
    <w:rsid w:val="009A7957"/>
    <w:rsid w:val="009B0AB1"/>
    <w:rsid w:val="009B1DF8"/>
    <w:rsid w:val="009B2A57"/>
    <w:rsid w:val="009B3D20"/>
    <w:rsid w:val="009B5338"/>
    <w:rsid w:val="009B5418"/>
    <w:rsid w:val="009B570F"/>
    <w:rsid w:val="009B5BB5"/>
    <w:rsid w:val="009B7462"/>
    <w:rsid w:val="009B7479"/>
    <w:rsid w:val="009B76B5"/>
    <w:rsid w:val="009C0727"/>
    <w:rsid w:val="009C1491"/>
    <w:rsid w:val="009C3C51"/>
    <w:rsid w:val="009C3C80"/>
    <w:rsid w:val="009C492F"/>
    <w:rsid w:val="009C5D78"/>
    <w:rsid w:val="009C636E"/>
    <w:rsid w:val="009C6CDB"/>
    <w:rsid w:val="009D0795"/>
    <w:rsid w:val="009D1221"/>
    <w:rsid w:val="009D19AE"/>
    <w:rsid w:val="009D1EFC"/>
    <w:rsid w:val="009D280E"/>
    <w:rsid w:val="009D2FF2"/>
    <w:rsid w:val="009D3226"/>
    <w:rsid w:val="009D3385"/>
    <w:rsid w:val="009D5675"/>
    <w:rsid w:val="009D676E"/>
    <w:rsid w:val="009D6770"/>
    <w:rsid w:val="009D76CC"/>
    <w:rsid w:val="009D793C"/>
    <w:rsid w:val="009E04C2"/>
    <w:rsid w:val="009E0B76"/>
    <w:rsid w:val="009E16A9"/>
    <w:rsid w:val="009E1A84"/>
    <w:rsid w:val="009E1E48"/>
    <w:rsid w:val="009E1ED6"/>
    <w:rsid w:val="009E26FC"/>
    <w:rsid w:val="009E295E"/>
    <w:rsid w:val="009E375F"/>
    <w:rsid w:val="009E39D4"/>
    <w:rsid w:val="009E433B"/>
    <w:rsid w:val="009E5207"/>
    <w:rsid w:val="009E5401"/>
    <w:rsid w:val="009E5426"/>
    <w:rsid w:val="009E5D09"/>
    <w:rsid w:val="009E7EBD"/>
    <w:rsid w:val="009F2120"/>
    <w:rsid w:val="009F2616"/>
    <w:rsid w:val="009F2B73"/>
    <w:rsid w:val="009F3A60"/>
    <w:rsid w:val="009F51AB"/>
    <w:rsid w:val="009F7C32"/>
    <w:rsid w:val="00A02784"/>
    <w:rsid w:val="00A02B20"/>
    <w:rsid w:val="00A04622"/>
    <w:rsid w:val="00A065B3"/>
    <w:rsid w:val="00A06A6F"/>
    <w:rsid w:val="00A072CB"/>
    <w:rsid w:val="00A0758F"/>
    <w:rsid w:val="00A07857"/>
    <w:rsid w:val="00A07B98"/>
    <w:rsid w:val="00A105B4"/>
    <w:rsid w:val="00A10CC2"/>
    <w:rsid w:val="00A10D11"/>
    <w:rsid w:val="00A11592"/>
    <w:rsid w:val="00A13F87"/>
    <w:rsid w:val="00A1570A"/>
    <w:rsid w:val="00A15B67"/>
    <w:rsid w:val="00A17866"/>
    <w:rsid w:val="00A17D27"/>
    <w:rsid w:val="00A211B4"/>
    <w:rsid w:val="00A2166A"/>
    <w:rsid w:val="00A222C9"/>
    <w:rsid w:val="00A223CF"/>
    <w:rsid w:val="00A26210"/>
    <w:rsid w:val="00A26235"/>
    <w:rsid w:val="00A27AC2"/>
    <w:rsid w:val="00A31D6D"/>
    <w:rsid w:val="00A33DDF"/>
    <w:rsid w:val="00A34547"/>
    <w:rsid w:val="00A360CF"/>
    <w:rsid w:val="00A36526"/>
    <w:rsid w:val="00A376B7"/>
    <w:rsid w:val="00A41BF5"/>
    <w:rsid w:val="00A4291B"/>
    <w:rsid w:val="00A42F6D"/>
    <w:rsid w:val="00A43ADF"/>
    <w:rsid w:val="00A44184"/>
    <w:rsid w:val="00A44778"/>
    <w:rsid w:val="00A469E7"/>
    <w:rsid w:val="00A50F31"/>
    <w:rsid w:val="00A51690"/>
    <w:rsid w:val="00A5209E"/>
    <w:rsid w:val="00A56253"/>
    <w:rsid w:val="00A5785C"/>
    <w:rsid w:val="00A57D77"/>
    <w:rsid w:val="00A602E8"/>
    <w:rsid w:val="00A604A4"/>
    <w:rsid w:val="00A610E5"/>
    <w:rsid w:val="00A61B7D"/>
    <w:rsid w:val="00A61CE9"/>
    <w:rsid w:val="00A62ED3"/>
    <w:rsid w:val="00A64204"/>
    <w:rsid w:val="00A642FC"/>
    <w:rsid w:val="00A6605B"/>
    <w:rsid w:val="00A66717"/>
    <w:rsid w:val="00A66ADC"/>
    <w:rsid w:val="00A67B86"/>
    <w:rsid w:val="00A702ED"/>
    <w:rsid w:val="00A7147D"/>
    <w:rsid w:val="00A71B68"/>
    <w:rsid w:val="00A72769"/>
    <w:rsid w:val="00A74905"/>
    <w:rsid w:val="00A750DB"/>
    <w:rsid w:val="00A75F7C"/>
    <w:rsid w:val="00A815C2"/>
    <w:rsid w:val="00A81B15"/>
    <w:rsid w:val="00A835E1"/>
    <w:rsid w:val="00A837FF"/>
    <w:rsid w:val="00A84052"/>
    <w:rsid w:val="00A84DC8"/>
    <w:rsid w:val="00A855F6"/>
    <w:rsid w:val="00A85DBC"/>
    <w:rsid w:val="00A86784"/>
    <w:rsid w:val="00A86E9F"/>
    <w:rsid w:val="00A87F9D"/>
    <w:rsid w:val="00A87FEB"/>
    <w:rsid w:val="00A90E53"/>
    <w:rsid w:val="00A91A4C"/>
    <w:rsid w:val="00A93F9F"/>
    <w:rsid w:val="00A9420E"/>
    <w:rsid w:val="00A97648"/>
    <w:rsid w:val="00A97FB4"/>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2C0E"/>
    <w:rsid w:val="00AB3EB7"/>
    <w:rsid w:val="00AB4182"/>
    <w:rsid w:val="00AB496D"/>
    <w:rsid w:val="00AB76A5"/>
    <w:rsid w:val="00AC00B4"/>
    <w:rsid w:val="00AC1134"/>
    <w:rsid w:val="00AC1D41"/>
    <w:rsid w:val="00AC2425"/>
    <w:rsid w:val="00AC27DB"/>
    <w:rsid w:val="00AC4210"/>
    <w:rsid w:val="00AC4C3B"/>
    <w:rsid w:val="00AC590A"/>
    <w:rsid w:val="00AC6D6B"/>
    <w:rsid w:val="00AC7A6F"/>
    <w:rsid w:val="00AD15DB"/>
    <w:rsid w:val="00AD2982"/>
    <w:rsid w:val="00AD2E33"/>
    <w:rsid w:val="00AD6C26"/>
    <w:rsid w:val="00AD6DE3"/>
    <w:rsid w:val="00AD7736"/>
    <w:rsid w:val="00AE0100"/>
    <w:rsid w:val="00AE0EE1"/>
    <w:rsid w:val="00AE10CE"/>
    <w:rsid w:val="00AE3B58"/>
    <w:rsid w:val="00AE42E1"/>
    <w:rsid w:val="00AE5FFD"/>
    <w:rsid w:val="00AE70D4"/>
    <w:rsid w:val="00AE7868"/>
    <w:rsid w:val="00AF0407"/>
    <w:rsid w:val="00AF049B"/>
    <w:rsid w:val="00AF0F7C"/>
    <w:rsid w:val="00AF236D"/>
    <w:rsid w:val="00AF2537"/>
    <w:rsid w:val="00AF4D8B"/>
    <w:rsid w:val="00AF5C90"/>
    <w:rsid w:val="00AF7512"/>
    <w:rsid w:val="00AF7C5F"/>
    <w:rsid w:val="00B00FA4"/>
    <w:rsid w:val="00B035A5"/>
    <w:rsid w:val="00B0414C"/>
    <w:rsid w:val="00B0454E"/>
    <w:rsid w:val="00B067CA"/>
    <w:rsid w:val="00B06E4C"/>
    <w:rsid w:val="00B07514"/>
    <w:rsid w:val="00B11DE7"/>
    <w:rsid w:val="00B12B26"/>
    <w:rsid w:val="00B15939"/>
    <w:rsid w:val="00B163F8"/>
    <w:rsid w:val="00B16F0A"/>
    <w:rsid w:val="00B179B1"/>
    <w:rsid w:val="00B20DDC"/>
    <w:rsid w:val="00B21684"/>
    <w:rsid w:val="00B2472D"/>
    <w:rsid w:val="00B24CA0"/>
    <w:rsid w:val="00B2549F"/>
    <w:rsid w:val="00B25C9B"/>
    <w:rsid w:val="00B260EB"/>
    <w:rsid w:val="00B26504"/>
    <w:rsid w:val="00B27644"/>
    <w:rsid w:val="00B30987"/>
    <w:rsid w:val="00B30CB8"/>
    <w:rsid w:val="00B31E72"/>
    <w:rsid w:val="00B339AF"/>
    <w:rsid w:val="00B33DD5"/>
    <w:rsid w:val="00B33FF4"/>
    <w:rsid w:val="00B34341"/>
    <w:rsid w:val="00B35CC4"/>
    <w:rsid w:val="00B371B6"/>
    <w:rsid w:val="00B37302"/>
    <w:rsid w:val="00B37B3B"/>
    <w:rsid w:val="00B4108D"/>
    <w:rsid w:val="00B458AF"/>
    <w:rsid w:val="00B517B5"/>
    <w:rsid w:val="00B51E47"/>
    <w:rsid w:val="00B528E8"/>
    <w:rsid w:val="00B53068"/>
    <w:rsid w:val="00B554AA"/>
    <w:rsid w:val="00B56737"/>
    <w:rsid w:val="00B56E82"/>
    <w:rsid w:val="00B57265"/>
    <w:rsid w:val="00B61D09"/>
    <w:rsid w:val="00B621C8"/>
    <w:rsid w:val="00B633AE"/>
    <w:rsid w:val="00B63C72"/>
    <w:rsid w:val="00B64CD7"/>
    <w:rsid w:val="00B65DAA"/>
    <w:rsid w:val="00B665D2"/>
    <w:rsid w:val="00B6737C"/>
    <w:rsid w:val="00B67574"/>
    <w:rsid w:val="00B71063"/>
    <w:rsid w:val="00B7214D"/>
    <w:rsid w:val="00B7362A"/>
    <w:rsid w:val="00B74372"/>
    <w:rsid w:val="00B75525"/>
    <w:rsid w:val="00B76F64"/>
    <w:rsid w:val="00B773B5"/>
    <w:rsid w:val="00B80283"/>
    <w:rsid w:val="00B8095F"/>
    <w:rsid w:val="00B80B0C"/>
    <w:rsid w:val="00B80B11"/>
    <w:rsid w:val="00B8172B"/>
    <w:rsid w:val="00B8265A"/>
    <w:rsid w:val="00B830AA"/>
    <w:rsid w:val="00B831AE"/>
    <w:rsid w:val="00B83341"/>
    <w:rsid w:val="00B8446C"/>
    <w:rsid w:val="00B84E32"/>
    <w:rsid w:val="00B85E91"/>
    <w:rsid w:val="00B873EE"/>
    <w:rsid w:val="00B87725"/>
    <w:rsid w:val="00B91373"/>
    <w:rsid w:val="00B94CE7"/>
    <w:rsid w:val="00B96FD6"/>
    <w:rsid w:val="00B9706E"/>
    <w:rsid w:val="00B97DDF"/>
    <w:rsid w:val="00BA07C7"/>
    <w:rsid w:val="00BA259A"/>
    <w:rsid w:val="00BA259C"/>
    <w:rsid w:val="00BA29D3"/>
    <w:rsid w:val="00BA307F"/>
    <w:rsid w:val="00BA5280"/>
    <w:rsid w:val="00BA64C5"/>
    <w:rsid w:val="00BB0001"/>
    <w:rsid w:val="00BB14F1"/>
    <w:rsid w:val="00BB3763"/>
    <w:rsid w:val="00BB41BD"/>
    <w:rsid w:val="00BB572E"/>
    <w:rsid w:val="00BB74FD"/>
    <w:rsid w:val="00BC1ECA"/>
    <w:rsid w:val="00BC23AB"/>
    <w:rsid w:val="00BC3FE0"/>
    <w:rsid w:val="00BC5982"/>
    <w:rsid w:val="00BC5F08"/>
    <w:rsid w:val="00BC60BF"/>
    <w:rsid w:val="00BC7BE5"/>
    <w:rsid w:val="00BC7FBD"/>
    <w:rsid w:val="00BD0C1C"/>
    <w:rsid w:val="00BD242D"/>
    <w:rsid w:val="00BD28BF"/>
    <w:rsid w:val="00BD2D12"/>
    <w:rsid w:val="00BD4264"/>
    <w:rsid w:val="00BD4ED7"/>
    <w:rsid w:val="00BD5DAB"/>
    <w:rsid w:val="00BD6281"/>
    <w:rsid w:val="00BD6309"/>
    <w:rsid w:val="00BD6404"/>
    <w:rsid w:val="00BD6F60"/>
    <w:rsid w:val="00BE0D8A"/>
    <w:rsid w:val="00BE24AD"/>
    <w:rsid w:val="00BE33AE"/>
    <w:rsid w:val="00BE3D7F"/>
    <w:rsid w:val="00BE5B5A"/>
    <w:rsid w:val="00BE6BFB"/>
    <w:rsid w:val="00BF046F"/>
    <w:rsid w:val="00BF13F0"/>
    <w:rsid w:val="00BF1C2E"/>
    <w:rsid w:val="00BF242C"/>
    <w:rsid w:val="00BF32B4"/>
    <w:rsid w:val="00BF6A01"/>
    <w:rsid w:val="00BF6A28"/>
    <w:rsid w:val="00BF6D96"/>
    <w:rsid w:val="00BF77CB"/>
    <w:rsid w:val="00BF7A1A"/>
    <w:rsid w:val="00C00099"/>
    <w:rsid w:val="00C01D50"/>
    <w:rsid w:val="00C056DC"/>
    <w:rsid w:val="00C063FA"/>
    <w:rsid w:val="00C124C9"/>
    <w:rsid w:val="00C1265A"/>
    <w:rsid w:val="00C12F93"/>
    <w:rsid w:val="00C1329B"/>
    <w:rsid w:val="00C1572F"/>
    <w:rsid w:val="00C1744E"/>
    <w:rsid w:val="00C17FB5"/>
    <w:rsid w:val="00C2146C"/>
    <w:rsid w:val="00C229AB"/>
    <w:rsid w:val="00C23518"/>
    <w:rsid w:val="00C248A0"/>
    <w:rsid w:val="00C248C3"/>
    <w:rsid w:val="00C24C05"/>
    <w:rsid w:val="00C24D2F"/>
    <w:rsid w:val="00C26222"/>
    <w:rsid w:val="00C26914"/>
    <w:rsid w:val="00C273C2"/>
    <w:rsid w:val="00C277FE"/>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A1"/>
    <w:rsid w:val="00C54261"/>
    <w:rsid w:val="00C54DE2"/>
    <w:rsid w:val="00C55601"/>
    <w:rsid w:val="00C565EF"/>
    <w:rsid w:val="00C5739F"/>
    <w:rsid w:val="00C576D2"/>
    <w:rsid w:val="00C57CF0"/>
    <w:rsid w:val="00C6174B"/>
    <w:rsid w:val="00C6217E"/>
    <w:rsid w:val="00C62CC1"/>
    <w:rsid w:val="00C63557"/>
    <w:rsid w:val="00C63FB2"/>
    <w:rsid w:val="00C649BD"/>
    <w:rsid w:val="00C6544B"/>
    <w:rsid w:val="00C65891"/>
    <w:rsid w:val="00C65BD1"/>
    <w:rsid w:val="00C66AC9"/>
    <w:rsid w:val="00C670F2"/>
    <w:rsid w:val="00C6732C"/>
    <w:rsid w:val="00C673DA"/>
    <w:rsid w:val="00C67E5D"/>
    <w:rsid w:val="00C71A36"/>
    <w:rsid w:val="00C71F69"/>
    <w:rsid w:val="00C724D3"/>
    <w:rsid w:val="00C72951"/>
    <w:rsid w:val="00C7355C"/>
    <w:rsid w:val="00C74C36"/>
    <w:rsid w:val="00C75FB3"/>
    <w:rsid w:val="00C76900"/>
    <w:rsid w:val="00C7738C"/>
    <w:rsid w:val="00C77DD9"/>
    <w:rsid w:val="00C802F3"/>
    <w:rsid w:val="00C80596"/>
    <w:rsid w:val="00C8089A"/>
    <w:rsid w:val="00C80D95"/>
    <w:rsid w:val="00C81D2E"/>
    <w:rsid w:val="00C8270D"/>
    <w:rsid w:val="00C8288A"/>
    <w:rsid w:val="00C83130"/>
    <w:rsid w:val="00C83BE6"/>
    <w:rsid w:val="00C83C35"/>
    <w:rsid w:val="00C85354"/>
    <w:rsid w:val="00C85818"/>
    <w:rsid w:val="00C86ABA"/>
    <w:rsid w:val="00C86CFB"/>
    <w:rsid w:val="00C908BF"/>
    <w:rsid w:val="00C943F3"/>
    <w:rsid w:val="00C95E68"/>
    <w:rsid w:val="00C9611F"/>
    <w:rsid w:val="00C96987"/>
    <w:rsid w:val="00C969FB"/>
    <w:rsid w:val="00C96AF7"/>
    <w:rsid w:val="00C96EED"/>
    <w:rsid w:val="00C96FC9"/>
    <w:rsid w:val="00CA08C6"/>
    <w:rsid w:val="00CA0A05"/>
    <w:rsid w:val="00CA0A77"/>
    <w:rsid w:val="00CA2729"/>
    <w:rsid w:val="00CA2AD7"/>
    <w:rsid w:val="00CA3057"/>
    <w:rsid w:val="00CA361A"/>
    <w:rsid w:val="00CA4143"/>
    <w:rsid w:val="00CA45F8"/>
    <w:rsid w:val="00CA46AA"/>
    <w:rsid w:val="00CA4A46"/>
    <w:rsid w:val="00CA7B94"/>
    <w:rsid w:val="00CA7D48"/>
    <w:rsid w:val="00CB0305"/>
    <w:rsid w:val="00CB0D2F"/>
    <w:rsid w:val="00CB11B9"/>
    <w:rsid w:val="00CB2819"/>
    <w:rsid w:val="00CB2C62"/>
    <w:rsid w:val="00CB33C7"/>
    <w:rsid w:val="00CB3720"/>
    <w:rsid w:val="00CB4470"/>
    <w:rsid w:val="00CB5384"/>
    <w:rsid w:val="00CB6DA7"/>
    <w:rsid w:val="00CB70EE"/>
    <w:rsid w:val="00CB786D"/>
    <w:rsid w:val="00CB7E4C"/>
    <w:rsid w:val="00CC10C6"/>
    <w:rsid w:val="00CC11CB"/>
    <w:rsid w:val="00CC1207"/>
    <w:rsid w:val="00CC21DD"/>
    <w:rsid w:val="00CC25B4"/>
    <w:rsid w:val="00CC4914"/>
    <w:rsid w:val="00CC5F88"/>
    <w:rsid w:val="00CC6569"/>
    <w:rsid w:val="00CC690B"/>
    <w:rsid w:val="00CC69C8"/>
    <w:rsid w:val="00CC6BA4"/>
    <w:rsid w:val="00CC7684"/>
    <w:rsid w:val="00CC77A2"/>
    <w:rsid w:val="00CD017C"/>
    <w:rsid w:val="00CD151E"/>
    <w:rsid w:val="00CD307E"/>
    <w:rsid w:val="00CD629F"/>
    <w:rsid w:val="00CD6A1B"/>
    <w:rsid w:val="00CD713C"/>
    <w:rsid w:val="00CD76E6"/>
    <w:rsid w:val="00CE0A7F"/>
    <w:rsid w:val="00CE0F7E"/>
    <w:rsid w:val="00CE11DC"/>
    <w:rsid w:val="00CE1718"/>
    <w:rsid w:val="00CE2D64"/>
    <w:rsid w:val="00CE33DA"/>
    <w:rsid w:val="00CE690B"/>
    <w:rsid w:val="00CF00D6"/>
    <w:rsid w:val="00CF0169"/>
    <w:rsid w:val="00CF15B0"/>
    <w:rsid w:val="00CF3557"/>
    <w:rsid w:val="00CF4156"/>
    <w:rsid w:val="00CF6960"/>
    <w:rsid w:val="00D0036C"/>
    <w:rsid w:val="00D00C1A"/>
    <w:rsid w:val="00D02EAF"/>
    <w:rsid w:val="00D03CA3"/>
    <w:rsid w:val="00D03D00"/>
    <w:rsid w:val="00D05C30"/>
    <w:rsid w:val="00D06822"/>
    <w:rsid w:val="00D10052"/>
    <w:rsid w:val="00D11359"/>
    <w:rsid w:val="00D1160E"/>
    <w:rsid w:val="00D16DE9"/>
    <w:rsid w:val="00D20C77"/>
    <w:rsid w:val="00D21E5C"/>
    <w:rsid w:val="00D2295A"/>
    <w:rsid w:val="00D25955"/>
    <w:rsid w:val="00D3065D"/>
    <w:rsid w:val="00D3188C"/>
    <w:rsid w:val="00D35F9B"/>
    <w:rsid w:val="00D363ED"/>
    <w:rsid w:val="00D36B69"/>
    <w:rsid w:val="00D3724C"/>
    <w:rsid w:val="00D408DD"/>
    <w:rsid w:val="00D409C2"/>
    <w:rsid w:val="00D4132F"/>
    <w:rsid w:val="00D41A17"/>
    <w:rsid w:val="00D424CD"/>
    <w:rsid w:val="00D45287"/>
    <w:rsid w:val="00D45594"/>
    <w:rsid w:val="00D45D72"/>
    <w:rsid w:val="00D45EB3"/>
    <w:rsid w:val="00D467A3"/>
    <w:rsid w:val="00D5037A"/>
    <w:rsid w:val="00D520E4"/>
    <w:rsid w:val="00D53609"/>
    <w:rsid w:val="00D53A38"/>
    <w:rsid w:val="00D56331"/>
    <w:rsid w:val="00D575DD"/>
    <w:rsid w:val="00D57DFA"/>
    <w:rsid w:val="00D61286"/>
    <w:rsid w:val="00D62F56"/>
    <w:rsid w:val="00D631E6"/>
    <w:rsid w:val="00D63FC3"/>
    <w:rsid w:val="00D66890"/>
    <w:rsid w:val="00D6740F"/>
    <w:rsid w:val="00D67FCF"/>
    <w:rsid w:val="00D709CE"/>
    <w:rsid w:val="00D71F73"/>
    <w:rsid w:val="00D735CF"/>
    <w:rsid w:val="00D73A18"/>
    <w:rsid w:val="00D74DED"/>
    <w:rsid w:val="00D759EE"/>
    <w:rsid w:val="00D76D34"/>
    <w:rsid w:val="00D80786"/>
    <w:rsid w:val="00D81026"/>
    <w:rsid w:val="00D81365"/>
    <w:rsid w:val="00D81CAB"/>
    <w:rsid w:val="00D844B7"/>
    <w:rsid w:val="00D8468C"/>
    <w:rsid w:val="00D8576F"/>
    <w:rsid w:val="00D85811"/>
    <w:rsid w:val="00D8677F"/>
    <w:rsid w:val="00D902C3"/>
    <w:rsid w:val="00D914DD"/>
    <w:rsid w:val="00D923B6"/>
    <w:rsid w:val="00D92FD5"/>
    <w:rsid w:val="00D94C93"/>
    <w:rsid w:val="00D9782D"/>
    <w:rsid w:val="00D97F0C"/>
    <w:rsid w:val="00DA009E"/>
    <w:rsid w:val="00DA0D0D"/>
    <w:rsid w:val="00DA3A86"/>
    <w:rsid w:val="00DA4947"/>
    <w:rsid w:val="00DA61FA"/>
    <w:rsid w:val="00DB02DE"/>
    <w:rsid w:val="00DB0EE6"/>
    <w:rsid w:val="00DB0F76"/>
    <w:rsid w:val="00DB127B"/>
    <w:rsid w:val="00DB2B1C"/>
    <w:rsid w:val="00DB4FA3"/>
    <w:rsid w:val="00DB5456"/>
    <w:rsid w:val="00DB556E"/>
    <w:rsid w:val="00DC03EC"/>
    <w:rsid w:val="00DC0A4D"/>
    <w:rsid w:val="00DC2500"/>
    <w:rsid w:val="00DC2D8C"/>
    <w:rsid w:val="00DC3A76"/>
    <w:rsid w:val="00DC4F72"/>
    <w:rsid w:val="00DC7250"/>
    <w:rsid w:val="00DC77DC"/>
    <w:rsid w:val="00DD0453"/>
    <w:rsid w:val="00DD0C2C"/>
    <w:rsid w:val="00DD1022"/>
    <w:rsid w:val="00DD19DE"/>
    <w:rsid w:val="00DD2008"/>
    <w:rsid w:val="00DD28BC"/>
    <w:rsid w:val="00DD3737"/>
    <w:rsid w:val="00DD3DBA"/>
    <w:rsid w:val="00DD528F"/>
    <w:rsid w:val="00DD7E5D"/>
    <w:rsid w:val="00DE18F5"/>
    <w:rsid w:val="00DE2D8C"/>
    <w:rsid w:val="00DE31F0"/>
    <w:rsid w:val="00DE3D1C"/>
    <w:rsid w:val="00DE45F8"/>
    <w:rsid w:val="00DE5F40"/>
    <w:rsid w:val="00DE7182"/>
    <w:rsid w:val="00DE7F95"/>
    <w:rsid w:val="00DF1634"/>
    <w:rsid w:val="00DF2268"/>
    <w:rsid w:val="00DF458E"/>
    <w:rsid w:val="00DF4B9E"/>
    <w:rsid w:val="00DF625E"/>
    <w:rsid w:val="00E00965"/>
    <w:rsid w:val="00E01739"/>
    <w:rsid w:val="00E01B8F"/>
    <w:rsid w:val="00E01C41"/>
    <w:rsid w:val="00E01F8B"/>
    <w:rsid w:val="00E01FE3"/>
    <w:rsid w:val="00E0227D"/>
    <w:rsid w:val="00E02E86"/>
    <w:rsid w:val="00E03F0E"/>
    <w:rsid w:val="00E04B84"/>
    <w:rsid w:val="00E06463"/>
    <w:rsid w:val="00E06466"/>
    <w:rsid w:val="00E06835"/>
    <w:rsid w:val="00E06FDA"/>
    <w:rsid w:val="00E1206A"/>
    <w:rsid w:val="00E1280E"/>
    <w:rsid w:val="00E1401B"/>
    <w:rsid w:val="00E141B5"/>
    <w:rsid w:val="00E14E98"/>
    <w:rsid w:val="00E160A5"/>
    <w:rsid w:val="00E1713D"/>
    <w:rsid w:val="00E172AD"/>
    <w:rsid w:val="00E2092A"/>
    <w:rsid w:val="00E20A43"/>
    <w:rsid w:val="00E21869"/>
    <w:rsid w:val="00E21AF0"/>
    <w:rsid w:val="00E22D7C"/>
    <w:rsid w:val="00E23152"/>
    <w:rsid w:val="00E23898"/>
    <w:rsid w:val="00E23925"/>
    <w:rsid w:val="00E25246"/>
    <w:rsid w:val="00E25E0C"/>
    <w:rsid w:val="00E26164"/>
    <w:rsid w:val="00E26982"/>
    <w:rsid w:val="00E30502"/>
    <w:rsid w:val="00E319F1"/>
    <w:rsid w:val="00E3226D"/>
    <w:rsid w:val="00E33A6C"/>
    <w:rsid w:val="00E33CD2"/>
    <w:rsid w:val="00E36C2A"/>
    <w:rsid w:val="00E405FE"/>
    <w:rsid w:val="00E40E90"/>
    <w:rsid w:val="00E41E97"/>
    <w:rsid w:val="00E431A2"/>
    <w:rsid w:val="00E44AAB"/>
    <w:rsid w:val="00E45C7E"/>
    <w:rsid w:val="00E46A5A"/>
    <w:rsid w:val="00E46CF4"/>
    <w:rsid w:val="00E5053E"/>
    <w:rsid w:val="00E52584"/>
    <w:rsid w:val="00E52D2E"/>
    <w:rsid w:val="00E531EB"/>
    <w:rsid w:val="00E53F35"/>
    <w:rsid w:val="00E542F0"/>
    <w:rsid w:val="00E54874"/>
    <w:rsid w:val="00E54B6F"/>
    <w:rsid w:val="00E55ACA"/>
    <w:rsid w:val="00E565A1"/>
    <w:rsid w:val="00E575E8"/>
    <w:rsid w:val="00E57B74"/>
    <w:rsid w:val="00E60212"/>
    <w:rsid w:val="00E619E6"/>
    <w:rsid w:val="00E62415"/>
    <w:rsid w:val="00E635B1"/>
    <w:rsid w:val="00E65BC6"/>
    <w:rsid w:val="00E661FF"/>
    <w:rsid w:val="00E70B11"/>
    <w:rsid w:val="00E7200C"/>
    <w:rsid w:val="00E7239D"/>
    <w:rsid w:val="00E726EB"/>
    <w:rsid w:val="00E72CF1"/>
    <w:rsid w:val="00E73995"/>
    <w:rsid w:val="00E76BD4"/>
    <w:rsid w:val="00E800F9"/>
    <w:rsid w:val="00E80960"/>
    <w:rsid w:val="00E80B52"/>
    <w:rsid w:val="00E824C3"/>
    <w:rsid w:val="00E840B3"/>
    <w:rsid w:val="00E849AF"/>
    <w:rsid w:val="00E84D10"/>
    <w:rsid w:val="00E85F8D"/>
    <w:rsid w:val="00E8629F"/>
    <w:rsid w:val="00E870B1"/>
    <w:rsid w:val="00E90295"/>
    <w:rsid w:val="00E91008"/>
    <w:rsid w:val="00E929B9"/>
    <w:rsid w:val="00E936DB"/>
    <w:rsid w:val="00E9374E"/>
    <w:rsid w:val="00E944D6"/>
    <w:rsid w:val="00E94F54"/>
    <w:rsid w:val="00E972CA"/>
    <w:rsid w:val="00E97AD5"/>
    <w:rsid w:val="00EA01D0"/>
    <w:rsid w:val="00EA1111"/>
    <w:rsid w:val="00EA11F6"/>
    <w:rsid w:val="00EA1770"/>
    <w:rsid w:val="00EA19E5"/>
    <w:rsid w:val="00EA2EC9"/>
    <w:rsid w:val="00EA3585"/>
    <w:rsid w:val="00EA3B4F"/>
    <w:rsid w:val="00EA3C24"/>
    <w:rsid w:val="00EA4202"/>
    <w:rsid w:val="00EA607E"/>
    <w:rsid w:val="00EA73DF"/>
    <w:rsid w:val="00EA7772"/>
    <w:rsid w:val="00EB08EE"/>
    <w:rsid w:val="00EB1538"/>
    <w:rsid w:val="00EB298E"/>
    <w:rsid w:val="00EB5229"/>
    <w:rsid w:val="00EB61AE"/>
    <w:rsid w:val="00EB660D"/>
    <w:rsid w:val="00EC10B9"/>
    <w:rsid w:val="00EC14BF"/>
    <w:rsid w:val="00EC230D"/>
    <w:rsid w:val="00EC3181"/>
    <w:rsid w:val="00EC322D"/>
    <w:rsid w:val="00EC3B85"/>
    <w:rsid w:val="00EC5D0C"/>
    <w:rsid w:val="00EC7DF9"/>
    <w:rsid w:val="00ED06A9"/>
    <w:rsid w:val="00ED0D7E"/>
    <w:rsid w:val="00ED1C28"/>
    <w:rsid w:val="00ED383A"/>
    <w:rsid w:val="00ED4D5E"/>
    <w:rsid w:val="00ED669E"/>
    <w:rsid w:val="00ED6FAD"/>
    <w:rsid w:val="00ED77FF"/>
    <w:rsid w:val="00EE1080"/>
    <w:rsid w:val="00EE25A3"/>
    <w:rsid w:val="00EE42B9"/>
    <w:rsid w:val="00EE43B9"/>
    <w:rsid w:val="00EE52D9"/>
    <w:rsid w:val="00EE53F8"/>
    <w:rsid w:val="00EE7481"/>
    <w:rsid w:val="00EF1EC5"/>
    <w:rsid w:val="00EF2366"/>
    <w:rsid w:val="00EF3F18"/>
    <w:rsid w:val="00EF4C88"/>
    <w:rsid w:val="00EF55EB"/>
    <w:rsid w:val="00EF7717"/>
    <w:rsid w:val="00F004E5"/>
    <w:rsid w:val="00F00DCC"/>
    <w:rsid w:val="00F0156F"/>
    <w:rsid w:val="00F01CA8"/>
    <w:rsid w:val="00F05AC8"/>
    <w:rsid w:val="00F0614F"/>
    <w:rsid w:val="00F07167"/>
    <w:rsid w:val="00F072D8"/>
    <w:rsid w:val="00F076DF"/>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7546"/>
    <w:rsid w:val="00F3076A"/>
    <w:rsid w:val="00F30D2E"/>
    <w:rsid w:val="00F31ECB"/>
    <w:rsid w:val="00F323BB"/>
    <w:rsid w:val="00F34035"/>
    <w:rsid w:val="00F35516"/>
    <w:rsid w:val="00F3551D"/>
    <w:rsid w:val="00F35790"/>
    <w:rsid w:val="00F35E6F"/>
    <w:rsid w:val="00F364A1"/>
    <w:rsid w:val="00F3682C"/>
    <w:rsid w:val="00F4136D"/>
    <w:rsid w:val="00F4212E"/>
    <w:rsid w:val="00F42C20"/>
    <w:rsid w:val="00F43B82"/>
    <w:rsid w:val="00F43E34"/>
    <w:rsid w:val="00F44743"/>
    <w:rsid w:val="00F44B22"/>
    <w:rsid w:val="00F45A63"/>
    <w:rsid w:val="00F45B72"/>
    <w:rsid w:val="00F468EF"/>
    <w:rsid w:val="00F4720E"/>
    <w:rsid w:val="00F50A1D"/>
    <w:rsid w:val="00F50F12"/>
    <w:rsid w:val="00F514BE"/>
    <w:rsid w:val="00F5168B"/>
    <w:rsid w:val="00F51DE8"/>
    <w:rsid w:val="00F53053"/>
    <w:rsid w:val="00F53FE2"/>
    <w:rsid w:val="00F548A2"/>
    <w:rsid w:val="00F54A36"/>
    <w:rsid w:val="00F55D12"/>
    <w:rsid w:val="00F575FF"/>
    <w:rsid w:val="00F60AEF"/>
    <w:rsid w:val="00F617F0"/>
    <w:rsid w:val="00F618EF"/>
    <w:rsid w:val="00F61EC4"/>
    <w:rsid w:val="00F629BC"/>
    <w:rsid w:val="00F63051"/>
    <w:rsid w:val="00F635F7"/>
    <w:rsid w:val="00F65582"/>
    <w:rsid w:val="00F66E75"/>
    <w:rsid w:val="00F70ABF"/>
    <w:rsid w:val="00F719E8"/>
    <w:rsid w:val="00F7345A"/>
    <w:rsid w:val="00F742A2"/>
    <w:rsid w:val="00F745AE"/>
    <w:rsid w:val="00F749B8"/>
    <w:rsid w:val="00F74DFD"/>
    <w:rsid w:val="00F7587E"/>
    <w:rsid w:val="00F77B0E"/>
    <w:rsid w:val="00F77EB0"/>
    <w:rsid w:val="00F80503"/>
    <w:rsid w:val="00F8233F"/>
    <w:rsid w:val="00F8253E"/>
    <w:rsid w:val="00F84AC9"/>
    <w:rsid w:val="00F85CAF"/>
    <w:rsid w:val="00F85D8F"/>
    <w:rsid w:val="00F865A8"/>
    <w:rsid w:val="00F86BB3"/>
    <w:rsid w:val="00F86EFD"/>
    <w:rsid w:val="00F876EE"/>
    <w:rsid w:val="00F87CA8"/>
    <w:rsid w:val="00F87CDD"/>
    <w:rsid w:val="00F87D33"/>
    <w:rsid w:val="00F909D2"/>
    <w:rsid w:val="00F9126D"/>
    <w:rsid w:val="00F92985"/>
    <w:rsid w:val="00F933F0"/>
    <w:rsid w:val="00F937A3"/>
    <w:rsid w:val="00F93F4D"/>
    <w:rsid w:val="00F94313"/>
    <w:rsid w:val="00F94715"/>
    <w:rsid w:val="00F95700"/>
    <w:rsid w:val="00F95D1C"/>
    <w:rsid w:val="00F96A3D"/>
    <w:rsid w:val="00F96DA8"/>
    <w:rsid w:val="00FA00EB"/>
    <w:rsid w:val="00FA4718"/>
    <w:rsid w:val="00FA4A4A"/>
    <w:rsid w:val="00FA5848"/>
    <w:rsid w:val="00FA5E1B"/>
    <w:rsid w:val="00FA6899"/>
    <w:rsid w:val="00FA6F45"/>
    <w:rsid w:val="00FA76A0"/>
    <w:rsid w:val="00FA7F3D"/>
    <w:rsid w:val="00FB07CA"/>
    <w:rsid w:val="00FB1052"/>
    <w:rsid w:val="00FB1E26"/>
    <w:rsid w:val="00FB3862"/>
    <w:rsid w:val="00FB38D8"/>
    <w:rsid w:val="00FB390B"/>
    <w:rsid w:val="00FC051F"/>
    <w:rsid w:val="00FC06FF"/>
    <w:rsid w:val="00FC2478"/>
    <w:rsid w:val="00FC36B1"/>
    <w:rsid w:val="00FC37D1"/>
    <w:rsid w:val="00FC3BC3"/>
    <w:rsid w:val="00FC400D"/>
    <w:rsid w:val="00FC45F4"/>
    <w:rsid w:val="00FC5886"/>
    <w:rsid w:val="00FC618F"/>
    <w:rsid w:val="00FC6562"/>
    <w:rsid w:val="00FC69B4"/>
    <w:rsid w:val="00FD0694"/>
    <w:rsid w:val="00FD0BC8"/>
    <w:rsid w:val="00FD17BB"/>
    <w:rsid w:val="00FD22CF"/>
    <w:rsid w:val="00FD22FF"/>
    <w:rsid w:val="00FD24C8"/>
    <w:rsid w:val="00FD25BE"/>
    <w:rsid w:val="00FD2E70"/>
    <w:rsid w:val="00FD2EC7"/>
    <w:rsid w:val="00FD3B21"/>
    <w:rsid w:val="00FD773A"/>
    <w:rsid w:val="00FD7768"/>
    <w:rsid w:val="00FD7AA7"/>
    <w:rsid w:val="00FE11DC"/>
    <w:rsid w:val="00FE1A54"/>
    <w:rsid w:val="00FE1AE2"/>
    <w:rsid w:val="00FE2253"/>
    <w:rsid w:val="00FE3013"/>
    <w:rsid w:val="00FE4D45"/>
    <w:rsid w:val="00FE7BCF"/>
    <w:rsid w:val="00FF06A1"/>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C7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1C3C5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1C3C5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77"/>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paragraph" w:styleId="Title">
    <w:name w:val="Title"/>
    <w:basedOn w:val="Normal"/>
    <w:next w:val="Normal"/>
    <w:link w:val="TitleChar"/>
    <w:qFormat/>
    <w:rsid w:val="008E0B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0BFD"/>
    <w:rPr>
      <w:rFonts w:asciiTheme="majorHAnsi" w:eastAsiaTheme="majorEastAsia" w:hAnsiTheme="majorHAnsi" w:cstheme="majorBidi"/>
      <w:spacing w:val="-10"/>
      <w:kern w:val="28"/>
      <w:sz w:val="56"/>
      <w:szCs w:val="56"/>
      <w:lang w:val="en-GB" w:eastAsia="en-US"/>
    </w:rPr>
  </w:style>
  <w:style w:type="table" w:styleId="GridTable4-Accent2">
    <w:name w:val="Grid Table 4 Accent 2"/>
    <w:basedOn w:val="TableNormal"/>
    <w:uiPriority w:val="49"/>
    <w:rsid w:val="00EB522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632263">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458440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customXml" Target="../customXml/item1.xml"/><Relationship Id="rId16" Type="http://schemas.openxmlformats.org/officeDocument/2006/relationships/chart" Target="charts/chart6.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hart" Target="charts/chart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D\Desktop\MyAnalysis_v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Desktop\MyAnalysis_v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D\Desktop\MyAnalysis_v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D\Desktop\MyAnalysis_v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D\Desktop\MyAnalysis_v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D\Desktop\MyAnalysis_v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D\Desktop\MyAnalysis_v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D\Desktop\MyAnalysis_v3.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LAD1 TRP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AC LAD1 TRP BHH</c:v>
          </c:tx>
          <c:spPr>
            <a:ln w="19050" cap="rnd">
              <a:noFill/>
              <a:round/>
            </a:ln>
            <a:effectLst/>
          </c:spPr>
          <c:marker>
            <c:symbol val="circle"/>
            <c:size val="5"/>
            <c:spPr>
              <a:solidFill>
                <a:schemeClr val="accent1"/>
              </a:solidFill>
              <a:ln w="9525">
                <a:solidFill>
                  <a:schemeClr val="accent1"/>
                </a:solidFill>
              </a:ln>
              <a:effectLst/>
            </c:spPr>
          </c:marker>
          <c:xVal>
            <c:numRef>
              <c:f>'LAD1'!$J$2:$J$25</c:f>
              <c:numCache>
                <c:formatCode>General</c:formatCode>
                <c:ptCount val="24"/>
                <c:pt idx="0">
                  <c:v>9.3000000000000007</c:v>
                </c:pt>
                <c:pt idx="1">
                  <c:v>11.394299999999999</c:v>
                </c:pt>
                <c:pt idx="2">
                  <c:v>12.6432</c:v>
                </c:pt>
                <c:pt idx="3">
                  <c:v>12.85</c:v>
                </c:pt>
                <c:pt idx="4">
                  <c:v>12.98</c:v>
                </c:pt>
                <c:pt idx="5">
                  <c:v>11.5602</c:v>
                </c:pt>
                <c:pt idx="6">
                  <c:v>11.212400000000001</c:v>
                </c:pt>
                <c:pt idx="7">
                  <c:v>13.2408</c:v>
                </c:pt>
                <c:pt idx="8">
                  <c:v>10.8</c:v>
                </c:pt>
                <c:pt idx="9">
                  <c:v>10.5532</c:v>
                </c:pt>
                <c:pt idx="10">
                  <c:v>11.363899999999999</c:v>
                </c:pt>
                <c:pt idx="11">
                  <c:v>11.9</c:v>
                </c:pt>
                <c:pt idx="12">
                  <c:v>10.78</c:v>
                </c:pt>
                <c:pt idx="13">
                  <c:v>11.359299999999999</c:v>
                </c:pt>
                <c:pt idx="14">
                  <c:v>10.8157</c:v>
                </c:pt>
                <c:pt idx="15">
                  <c:v>12.3078</c:v>
                </c:pt>
                <c:pt idx="16">
                  <c:v>10.199999999999999</c:v>
                </c:pt>
                <c:pt idx="17">
                  <c:v>11.4078</c:v>
                </c:pt>
                <c:pt idx="18">
                  <c:v>12.104799999999999</c:v>
                </c:pt>
                <c:pt idx="19">
                  <c:v>12.52</c:v>
                </c:pt>
                <c:pt idx="20">
                  <c:v>12.6</c:v>
                </c:pt>
                <c:pt idx="21">
                  <c:v>11.3232</c:v>
                </c:pt>
                <c:pt idx="22">
                  <c:v>11.5435</c:v>
                </c:pt>
                <c:pt idx="23">
                  <c:v>13.070600000000001</c:v>
                </c:pt>
              </c:numCache>
            </c:numRef>
          </c:xVal>
          <c:yVal>
            <c:numRef>
              <c:f>'LAD1'!$K$2:$K$25</c:f>
              <c:numCache>
                <c:formatCode>General</c:formatCode>
                <c:ptCount val="24"/>
                <c:pt idx="0">
                  <c:v>12.2</c:v>
                </c:pt>
                <c:pt idx="1">
                  <c:v>12.1873</c:v>
                </c:pt>
                <c:pt idx="2">
                  <c:v>13.2539</c:v>
                </c:pt>
                <c:pt idx="3">
                  <c:v>12.98</c:v>
                </c:pt>
                <c:pt idx="4">
                  <c:v>13.13</c:v>
                </c:pt>
                <c:pt idx="5">
                  <c:v>12.5167</c:v>
                </c:pt>
                <c:pt idx="6">
                  <c:v>12.0589</c:v>
                </c:pt>
                <c:pt idx="7">
                  <c:v>12.904400000000001</c:v>
                </c:pt>
                <c:pt idx="8">
                  <c:v>12.6</c:v>
                </c:pt>
                <c:pt idx="9">
                  <c:v>12.149800000000001</c:v>
                </c:pt>
                <c:pt idx="10">
                  <c:v>12.9825</c:v>
                </c:pt>
                <c:pt idx="11">
                  <c:v>13.04</c:v>
                </c:pt>
                <c:pt idx="12">
                  <c:v>11.87</c:v>
                </c:pt>
                <c:pt idx="13">
                  <c:v>12.5596</c:v>
                </c:pt>
                <c:pt idx="14">
                  <c:v>12.482799999999999</c:v>
                </c:pt>
                <c:pt idx="15">
                  <c:v>13.02</c:v>
                </c:pt>
                <c:pt idx="16">
                  <c:v>12.3</c:v>
                </c:pt>
                <c:pt idx="17">
                  <c:v>11.663500000000001</c:v>
                </c:pt>
                <c:pt idx="18">
                  <c:v>12.942299999999999</c:v>
                </c:pt>
                <c:pt idx="19">
                  <c:v>13.08</c:v>
                </c:pt>
                <c:pt idx="20">
                  <c:v>13.39</c:v>
                </c:pt>
                <c:pt idx="21">
                  <c:v>12.162000000000001</c:v>
                </c:pt>
                <c:pt idx="22">
                  <c:v>12.1944</c:v>
                </c:pt>
                <c:pt idx="23">
                  <c:v>12.405799999999999</c:v>
                </c:pt>
              </c:numCache>
            </c:numRef>
          </c:yVal>
          <c:smooth val="0"/>
          <c:extLst>
            <c:ext xmlns:c16="http://schemas.microsoft.com/office/drawing/2014/chart" uri="{C3380CC4-5D6E-409C-BE32-E72D297353CC}">
              <c16:uniqueId val="{00000000-6C5E-44FA-9630-7718EB05D535}"/>
            </c:ext>
          </c:extLst>
        </c:ser>
        <c:ser>
          <c:idx val="2"/>
          <c:order val="1"/>
          <c:tx>
            <c:v>RC LAD1 TRP BHH</c:v>
          </c:tx>
          <c:spPr>
            <a:ln w="19050" cap="rnd">
              <a:noFill/>
              <a:round/>
            </a:ln>
            <a:effectLst/>
          </c:spPr>
          <c:marker>
            <c:symbol val="circle"/>
            <c:size val="5"/>
            <c:spPr>
              <a:solidFill>
                <a:schemeClr val="accent3"/>
              </a:solidFill>
              <a:ln w="9525">
                <a:solidFill>
                  <a:schemeClr val="accent3"/>
                </a:solidFill>
              </a:ln>
              <a:effectLst/>
            </c:spPr>
          </c:marker>
          <c:xVal>
            <c:numRef>
              <c:f>'LAD1'!$B$2:$B$25</c:f>
              <c:numCache>
                <c:formatCode>General</c:formatCode>
                <c:ptCount val="24"/>
                <c:pt idx="0">
                  <c:v>11.2</c:v>
                </c:pt>
                <c:pt idx="1">
                  <c:v>12.44</c:v>
                </c:pt>
                <c:pt idx="2">
                  <c:v>12</c:v>
                </c:pt>
                <c:pt idx="3">
                  <c:v>12.9</c:v>
                </c:pt>
                <c:pt idx="4">
                  <c:v>12.8118</c:v>
                </c:pt>
                <c:pt idx="5">
                  <c:v>12</c:v>
                </c:pt>
                <c:pt idx="8">
                  <c:v>10.5</c:v>
                </c:pt>
                <c:pt idx="9">
                  <c:v>10.7</c:v>
                </c:pt>
                <c:pt idx="10">
                  <c:v>12.1</c:v>
                </c:pt>
                <c:pt idx="11">
                  <c:v>11.4</c:v>
                </c:pt>
                <c:pt idx="12">
                  <c:v>11.810600000000001</c:v>
                </c:pt>
                <c:pt idx="13">
                  <c:v>11.6</c:v>
                </c:pt>
                <c:pt idx="16">
                  <c:v>10.8</c:v>
                </c:pt>
                <c:pt idx="17">
                  <c:v>11.76</c:v>
                </c:pt>
                <c:pt idx="18">
                  <c:v>11.3</c:v>
                </c:pt>
                <c:pt idx="19">
                  <c:v>12.5</c:v>
                </c:pt>
                <c:pt idx="20">
                  <c:v>12.1836</c:v>
                </c:pt>
                <c:pt idx="21">
                  <c:v>12.4</c:v>
                </c:pt>
              </c:numCache>
            </c:numRef>
          </c:xVal>
          <c:yVal>
            <c:numRef>
              <c:f>'LAD1'!$C$2:$C$25</c:f>
              <c:numCache>
                <c:formatCode>General</c:formatCode>
                <c:ptCount val="24"/>
                <c:pt idx="0">
                  <c:v>11.8</c:v>
                </c:pt>
                <c:pt idx="1">
                  <c:v>12.83</c:v>
                </c:pt>
                <c:pt idx="2">
                  <c:v>12.2</c:v>
                </c:pt>
                <c:pt idx="3">
                  <c:v>12.9</c:v>
                </c:pt>
                <c:pt idx="4">
                  <c:v>12.824999999999999</c:v>
                </c:pt>
                <c:pt idx="5">
                  <c:v>13.4</c:v>
                </c:pt>
                <c:pt idx="8">
                  <c:v>11.5</c:v>
                </c:pt>
                <c:pt idx="9">
                  <c:v>12.61</c:v>
                </c:pt>
                <c:pt idx="10">
                  <c:v>12.9</c:v>
                </c:pt>
                <c:pt idx="11">
                  <c:v>12.4</c:v>
                </c:pt>
                <c:pt idx="12">
                  <c:v>13.3314</c:v>
                </c:pt>
                <c:pt idx="13">
                  <c:v>13.4</c:v>
                </c:pt>
                <c:pt idx="16">
                  <c:v>11.9</c:v>
                </c:pt>
                <c:pt idx="17">
                  <c:v>12.55</c:v>
                </c:pt>
                <c:pt idx="18">
                  <c:v>12.4</c:v>
                </c:pt>
                <c:pt idx="19">
                  <c:v>12.7</c:v>
                </c:pt>
                <c:pt idx="20">
                  <c:v>13.145200000000001</c:v>
                </c:pt>
                <c:pt idx="21">
                  <c:v>13</c:v>
                </c:pt>
              </c:numCache>
            </c:numRef>
          </c:yVal>
          <c:smooth val="0"/>
          <c:extLst>
            <c:ext xmlns:c16="http://schemas.microsoft.com/office/drawing/2014/chart" uri="{C3380CC4-5D6E-409C-BE32-E72D297353CC}">
              <c16:uniqueId val="{00000001-6C5E-44FA-9630-7718EB05D535}"/>
            </c:ext>
          </c:extLst>
        </c:ser>
        <c:dLbls>
          <c:showLegendKey val="0"/>
          <c:showVal val="0"/>
          <c:showCatName val="0"/>
          <c:showSerName val="0"/>
          <c:showPercent val="0"/>
          <c:showBubbleSize val="0"/>
        </c:dLbls>
        <c:axId val="503533472"/>
        <c:axId val="503534192"/>
      </c:scatterChart>
      <c:valAx>
        <c:axId val="503533472"/>
        <c:scaling>
          <c:orientation val="minMax"/>
          <c:max val="20"/>
          <c:min val="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4192"/>
        <c:crosses val="autoZero"/>
        <c:crossBetween val="midCat"/>
      </c:valAx>
      <c:valAx>
        <c:axId val="503534192"/>
        <c:scaling>
          <c:orientation val="minMax"/>
          <c:max val="15"/>
          <c:min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3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LAD1 TRS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AC LAD1 TRS BHH</c:v>
          </c:tx>
          <c:spPr>
            <a:ln w="25400" cap="rnd">
              <a:noFill/>
              <a:round/>
            </a:ln>
            <a:effectLst/>
          </c:spPr>
          <c:marker>
            <c:symbol val="circle"/>
            <c:size val="5"/>
            <c:spPr>
              <a:solidFill>
                <a:schemeClr val="accent1"/>
              </a:solidFill>
              <a:ln w="9525">
                <a:solidFill>
                  <a:schemeClr val="accent1"/>
                </a:solidFill>
              </a:ln>
              <a:effectLst/>
            </c:spPr>
          </c:marker>
          <c:xVal>
            <c:numRef>
              <c:f>'LAD1'!$L$2:$L$25</c:f>
              <c:numCache>
                <c:formatCode>General</c:formatCode>
                <c:ptCount val="24"/>
                <c:pt idx="0">
                  <c:v>-83.2</c:v>
                </c:pt>
                <c:pt idx="1">
                  <c:v>-82.596999999999994</c:v>
                </c:pt>
                <c:pt idx="2">
                  <c:v>-83.213499999999996</c:v>
                </c:pt>
                <c:pt idx="3">
                  <c:v>-81.67</c:v>
                </c:pt>
                <c:pt idx="4">
                  <c:v>-83.9983</c:v>
                </c:pt>
                <c:pt idx="5">
                  <c:v>-83.036600000000007</c:v>
                </c:pt>
                <c:pt idx="6">
                  <c:v>-82.215900000000005</c:v>
                </c:pt>
                <c:pt idx="7">
                  <c:v>-81.973100000000002</c:v>
                </c:pt>
                <c:pt idx="8">
                  <c:v>-80.599999999999994</c:v>
                </c:pt>
                <c:pt idx="9">
                  <c:v>-81.661799999999999</c:v>
                </c:pt>
                <c:pt idx="10">
                  <c:v>-81.5535</c:v>
                </c:pt>
                <c:pt idx="11">
                  <c:v>-79.400000000000006</c:v>
                </c:pt>
                <c:pt idx="12">
                  <c:v>-82.345299999999995</c:v>
                </c:pt>
                <c:pt idx="13">
                  <c:v>-82.019499999999994</c:v>
                </c:pt>
                <c:pt idx="14">
                  <c:v>-80.666700000000006</c:v>
                </c:pt>
                <c:pt idx="15">
                  <c:v>-81.537300000000002</c:v>
                </c:pt>
                <c:pt idx="16">
                  <c:v>-83</c:v>
                </c:pt>
                <c:pt idx="17">
                  <c:v>-83.731700000000004</c:v>
                </c:pt>
                <c:pt idx="18">
                  <c:v>-83.524100000000004</c:v>
                </c:pt>
                <c:pt idx="19">
                  <c:v>-81.75</c:v>
                </c:pt>
                <c:pt idx="20">
                  <c:v>-83.4</c:v>
                </c:pt>
                <c:pt idx="21">
                  <c:v>-84.08</c:v>
                </c:pt>
                <c:pt idx="22">
                  <c:v>-83.102099999999993</c:v>
                </c:pt>
                <c:pt idx="23">
                  <c:v>-83.3292</c:v>
                </c:pt>
              </c:numCache>
            </c:numRef>
          </c:xVal>
          <c:yVal>
            <c:numRef>
              <c:f>'LAD1'!$M$2:$M$25</c:f>
              <c:numCache>
                <c:formatCode>General</c:formatCode>
                <c:ptCount val="24"/>
                <c:pt idx="0">
                  <c:v>-83</c:v>
                </c:pt>
                <c:pt idx="1">
                  <c:v>-82.773899999999998</c:v>
                </c:pt>
                <c:pt idx="2">
                  <c:v>-83.588099999999997</c:v>
                </c:pt>
                <c:pt idx="3">
                  <c:v>-82.24</c:v>
                </c:pt>
                <c:pt idx="4">
                  <c:v>-84.379800000000003</c:v>
                </c:pt>
                <c:pt idx="5">
                  <c:v>-83.543700000000001</c:v>
                </c:pt>
                <c:pt idx="6">
                  <c:v>-83.186499999999995</c:v>
                </c:pt>
                <c:pt idx="7">
                  <c:v>-82.552000000000007</c:v>
                </c:pt>
                <c:pt idx="8">
                  <c:v>-80.900000000000006</c:v>
                </c:pt>
                <c:pt idx="9">
                  <c:v>-81.388900000000007</c:v>
                </c:pt>
                <c:pt idx="10">
                  <c:v>-81.567300000000003</c:v>
                </c:pt>
                <c:pt idx="11">
                  <c:v>-80.099999999999994</c:v>
                </c:pt>
                <c:pt idx="12">
                  <c:v>-82.611999999999995</c:v>
                </c:pt>
                <c:pt idx="13">
                  <c:v>-82.247799999999998</c:v>
                </c:pt>
                <c:pt idx="14">
                  <c:v>-81.907899999999998</c:v>
                </c:pt>
                <c:pt idx="15">
                  <c:v>-81.550899999999999</c:v>
                </c:pt>
                <c:pt idx="16">
                  <c:v>-81.3</c:v>
                </c:pt>
                <c:pt idx="17">
                  <c:v>-82.023200000000003</c:v>
                </c:pt>
                <c:pt idx="18">
                  <c:v>-83.102699999999999</c:v>
                </c:pt>
                <c:pt idx="19">
                  <c:v>-81.78</c:v>
                </c:pt>
                <c:pt idx="20">
                  <c:v>-83.1</c:v>
                </c:pt>
                <c:pt idx="21">
                  <c:v>-83.581299999999999</c:v>
                </c:pt>
                <c:pt idx="22">
                  <c:v>-83.652900000000002</c:v>
                </c:pt>
                <c:pt idx="23">
                  <c:v>-82.831299999999999</c:v>
                </c:pt>
              </c:numCache>
            </c:numRef>
          </c:yVal>
          <c:smooth val="0"/>
          <c:extLst>
            <c:ext xmlns:c16="http://schemas.microsoft.com/office/drawing/2014/chart" uri="{C3380CC4-5D6E-409C-BE32-E72D297353CC}">
              <c16:uniqueId val="{00000000-B139-416A-BDE9-DCDACF0C9FB3}"/>
            </c:ext>
          </c:extLst>
        </c:ser>
        <c:ser>
          <c:idx val="2"/>
          <c:order val="1"/>
          <c:tx>
            <c:v>RC LAD1 TRS BHH</c:v>
          </c:tx>
          <c:spPr>
            <a:ln w="25400" cap="rnd">
              <a:noFill/>
              <a:round/>
            </a:ln>
            <a:effectLst/>
          </c:spPr>
          <c:marker>
            <c:symbol val="circle"/>
            <c:size val="5"/>
            <c:spPr>
              <a:solidFill>
                <a:schemeClr val="accent3"/>
              </a:solidFill>
              <a:ln w="9525">
                <a:solidFill>
                  <a:schemeClr val="accent3"/>
                </a:solidFill>
              </a:ln>
              <a:effectLst/>
            </c:spPr>
          </c:marker>
          <c:xVal>
            <c:numRef>
              <c:f>'LAD1'!$D$2:$D$25</c:f>
              <c:numCache>
                <c:formatCode>General</c:formatCode>
                <c:ptCount val="24"/>
                <c:pt idx="0">
                  <c:v>-80.8</c:v>
                </c:pt>
                <c:pt idx="1">
                  <c:v>-81.87</c:v>
                </c:pt>
                <c:pt idx="2">
                  <c:v>-83.8</c:v>
                </c:pt>
                <c:pt idx="3">
                  <c:v>-81.8</c:v>
                </c:pt>
                <c:pt idx="4">
                  <c:v>-82.417000000000002</c:v>
                </c:pt>
                <c:pt idx="5">
                  <c:v>-82.4</c:v>
                </c:pt>
                <c:pt idx="8">
                  <c:v>-79.2</c:v>
                </c:pt>
                <c:pt idx="9">
                  <c:v>-79.86</c:v>
                </c:pt>
                <c:pt idx="10">
                  <c:v>-82.2</c:v>
                </c:pt>
                <c:pt idx="11">
                  <c:v>-80</c:v>
                </c:pt>
                <c:pt idx="12">
                  <c:v>-81.573300000000003</c:v>
                </c:pt>
                <c:pt idx="13">
                  <c:v>-80.900000000000006</c:v>
                </c:pt>
                <c:pt idx="16">
                  <c:v>-80.900000000000006</c:v>
                </c:pt>
                <c:pt idx="17">
                  <c:v>-81.599999999999994</c:v>
                </c:pt>
                <c:pt idx="18">
                  <c:v>-83.5</c:v>
                </c:pt>
                <c:pt idx="19">
                  <c:v>-82.4</c:v>
                </c:pt>
                <c:pt idx="20">
                  <c:v>-82.725399999999993</c:v>
                </c:pt>
                <c:pt idx="21">
                  <c:v>-82.8</c:v>
                </c:pt>
              </c:numCache>
            </c:numRef>
          </c:xVal>
          <c:yVal>
            <c:numRef>
              <c:f>'LAD1'!$E$2:$E$25</c:f>
              <c:numCache>
                <c:formatCode>General</c:formatCode>
                <c:ptCount val="24"/>
                <c:pt idx="0">
                  <c:v>-82.4</c:v>
                </c:pt>
                <c:pt idx="1">
                  <c:v>-82.39</c:v>
                </c:pt>
                <c:pt idx="2">
                  <c:v>-83.4</c:v>
                </c:pt>
                <c:pt idx="3">
                  <c:v>-82.4</c:v>
                </c:pt>
                <c:pt idx="4">
                  <c:v>-82.739500000000007</c:v>
                </c:pt>
                <c:pt idx="5">
                  <c:v>-83.5</c:v>
                </c:pt>
                <c:pt idx="8">
                  <c:v>-80.2</c:v>
                </c:pt>
                <c:pt idx="9">
                  <c:v>-80.849999999999994</c:v>
                </c:pt>
                <c:pt idx="10">
                  <c:v>-82.4</c:v>
                </c:pt>
                <c:pt idx="11">
                  <c:v>-80.400000000000006</c:v>
                </c:pt>
                <c:pt idx="12">
                  <c:v>-81.249200000000002</c:v>
                </c:pt>
                <c:pt idx="13">
                  <c:v>-82</c:v>
                </c:pt>
                <c:pt idx="16">
                  <c:v>-81.599999999999994</c:v>
                </c:pt>
                <c:pt idx="17">
                  <c:v>-82.01</c:v>
                </c:pt>
                <c:pt idx="18">
                  <c:v>-83.7</c:v>
                </c:pt>
                <c:pt idx="19">
                  <c:v>-82</c:v>
                </c:pt>
                <c:pt idx="20">
                  <c:v>-82.974199999999996</c:v>
                </c:pt>
                <c:pt idx="21">
                  <c:v>-83.2</c:v>
                </c:pt>
              </c:numCache>
            </c:numRef>
          </c:yVal>
          <c:smooth val="0"/>
          <c:extLst>
            <c:ext xmlns:c16="http://schemas.microsoft.com/office/drawing/2014/chart" uri="{C3380CC4-5D6E-409C-BE32-E72D297353CC}">
              <c16:uniqueId val="{00000001-B139-416A-BDE9-DCDACF0C9FB3}"/>
            </c:ext>
          </c:extLst>
        </c:ser>
        <c:dLbls>
          <c:showLegendKey val="0"/>
          <c:showVal val="0"/>
          <c:showCatName val="0"/>
          <c:showSerName val="0"/>
          <c:showPercent val="0"/>
          <c:showBubbleSize val="0"/>
        </c:dLbls>
        <c:axId val="503533472"/>
        <c:axId val="503534192"/>
      </c:scatterChart>
      <c:valAx>
        <c:axId val="503533472"/>
        <c:scaling>
          <c:orientation val="minMax"/>
          <c:max val="-75"/>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4192"/>
        <c:crosses val="autoZero"/>
        <c:crossBetween val="midCat"/>
      </c:valAx>
      <c:valAx>
        <c:axId val="503534192"/>
        <c:scaling>
          <c:orientation val="minMax"/>
          <c:max val="-75"/>
          <c:min val="-9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3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LAD2 TRP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AC LAD2 TRP BHH</c:v>
          </c:tx>
          <c:spPr>
            <a:ln w="19050" cap="rnd">
              <a:noFill/>
              <a:round/>
            </a:ln>
            <a:effectLst/>
          </c:spPr>
          <c:marker>
            <c:symbol val="circle"/>
            <c:size val="5"/>
            <c:spPr>
              <a:solidFill>
                <a:schemeClr val="accent1"/>
              </a:solidFill>
              <a:ln w="9525">
                <a:solidFill>
                  <a:schemeClr val="accent1"/>
                </a:solidFill>
              </a:ln>
              <a:effectLst/>
            </c:spPr>
          </c:marker>
          <c:xVal>
            <c:numRef>
              <c:f>'LAD2'!$J$2:$J$25</c:f>
              <c:numCache>
                <c:formatCode>General</c:formatCode>
                <c:ptCount val="24"/>
                <c:pt idx="0">
                  <c:v>10.7</c:v>
                </c:pt>
                <c:pt idx="1">
                  <c:v>11.6023</c:v>
                </c:pt>
                <c:pt idx="2">
                  <c:v>12.7326</c:v>
                </c:pt>
                <c:pt idx="3">
                  <c:v>12.98</c:v>
                </c:pt>
                <c:pt idx="4">
                  <c:v>12.867599999999999</c:v>
                </c:pt>
                <c:pt idx="5">
                  <c:v>11.823600000000001</c:v>
                </c:pt>
                <c:pt idx="6">
                  <c:v>12.0831</c:v>
                </c:pt>
                <c:pt idx="7">
                  <c:v>13.1988</c:v>
                </c:pt>
                <c:pt idx="8">
                  <c:v>9.5</c:v>
                </c:pt>
                <c:pt idx="9">
                  <c:v>10.588100000000001</c:v>
                </c:pt>
                <c:pt idx="10">
                  <c:v>10.370900000000001</c:v>
                </c:pt>
                <c:pt idx="11">
                  <c:v>10.78</c:v>
                </c:pt>
                <c:pt idx="12">
                  <c:v>11.477</c:v>
                </c:pt>
                <c:pt idx="13">
                  <c:v>10.388500000000001</c:v>
                </c:pt>
                <c:pt idx="14">
                  <c:v>10.2986</c:v>
                </c:pt>
                <c:pt idx="15">
                  <c:v>11.1645</c:v>
                </c:pt>
                <c:pt idx="16">
                  <c:v>10.4</c:v>
                </c:pt>
                <c:pt idx="17">
                  <c:v>11.5236</c:v>
                </c:pt>
                <c:pt idx="18">
                  <c:v>12.138199999999999</c:v>
                </c:pt>
                <c:pt idx="19">
                  <c:v>12.6</c:v>
                </c:pt>
                <c:pt idx="20">
                  <c:v>13.2506</c:v>
                </c:pt>
                <c:pt idx="21">
                  <c:v>11.752800000000001</c:v>
                </c:pt>
                <c:pt idx="22">
                  <c:v>12.0693</c:v>
                </c:pt>
                <c:pt idx="23">
                  <c:v>12.6358</c:v>
                </c:pt>
              </c:numCache>
            </c:numRef>
          </c:xVal>
          <c:yVal>
            <c:numRef>
              <c:f>'LAD2'!$K$2:$K$25</c:f>
              <c:numCache>
                <c:formatCode>General</c:formatCode>
                <c:ptCount val="24"/>
                <c:pt idx="0">
                  <c:v>12.9</c:v>
                </c:pt>
                <c:pt idx="1">
                  <c:v>11.9291</c:v>
                </c:pt>
                <c:pt idx="2">
                  <c:v>13.0627</c:v>
                </c:pt>
                <c:pt idx="3">
                  <c:v>13.13</c:v>
                </c:pt>
                <c:pt idx="4">
                  <c:v>12.766</c:v>
                </c:pt>
                <c:pt idx="5">
                  <c:v>12.514900000000001</c:v>
                </c:pt>
                <c:pt idx="6">
                  <c:v>12.706099999999999</c:v>
                </c:pt>
                <c:pt idx="7">
                  <c:v>13.786799999999999</c:v>
                </c:pt>
                <c:pt idx="8">
                  <c:v>11.3</c:v>
                </c:pt>
                <c:pt idx="9">
                  <c:v>10.6462</c:v>
                </c:pt>
                <c:pt idx="10">
                  <c:v>10.879200000000001</c:v>
                </c:pt>
                <c:pt idx="11">
                  <c:v>11.87</c:v>
                </c:pt>
                <c:pt idx="12">
                  <c:v>11.198</c:v>
                </c:pt>
                <c:pt idx="13">
                  <c:v>10.834899999999999</c:v>
                </c:pt>
                <c:pt idx="14">
                  <c:v>10.973699999999999</c:v>
                </c:pt>
                <c:pt idx="15">
                  <c:v>11.5555</c:v>
                </c:pt>
                <c:pt idx="16">
                  <c:v>12.8</c:v>
                </c:pt>
                <c:pt idx="17">
                  <c:v>11.7186</c:v>
                </c:pt>
                <c:pt idx="18">
                  <c:v>12.9229</c:v>
                </c:pt>
                <c:pt idx="19">
                  <c:v>13.39</c:v>
                </c:pt>
                <c:pt idx="20">
                  <c:v>12.967599999999999</c:v>
                </c:pt>
                <c:pt idx="21">
                  <c:v>12.421900000000001</c:v>
                </c:pt>
                <c:pt idx="22">
                  <c:v>12.9169</c:v>
                </c:pt>
                <c:pt idx="23">
                  <c:v>13.234</c:v>
                </c:pt>
              </c:numCache>
            </c:numRef>
          </c:yVal>
          <c:smooth val="0"/>
          <c:extLst>
            <c:ext xmlns:c16="http://schemas.microsoft.com/office/drawing/2014/chart" uri="{C3380CC4-5D6E-409C-BE32-E72D297353CC}">
              <c16:uniqueId val="{00000000-1F90-4086-BD9E-14B57C71D20A}"/>
            </c:ext>
          </c:extLst>
        </c:ser>
        <c:ser>
          <c:idx val="2"/>
          <c:order val="1"/>
          <c:tx>
            <c:v>RC LAD2 TRP BHH</c:v>
          </c:tx>
          <c:spPr>
            <a:ln w="19050" cap="rnd">
              <a:noFill/>
              <a:round/>
            </a:ln>
            <a:effectLst/>
          </c:spPr>
          <c:marker>
            <c:symbol val="circle"/>
            <c:size val="5"/>
            <c:spPr>
              <a:solidFill>
                <a:schemeClr val="accent3"/>
              </a:solidFill>
              <a:ln w="9525">
                <a:solidFill>
                  <a:schemeClr val="accent3"/>
                </a:solidFill>
              </a:ln>
              <a:effectLst/>
            </c:spPr>
          </c:marker>
          <c:xVal>
            <c:numRef>
              <c:f>'LAD2'!$B$2:$B$25</c:f>
              <c:numCache>
                <c:formatCode>General</c:formatCode>
                <c:ptCount val="24"/>
                <c:pt idx="0">
                  <c:v>10.9</c:v>
                </c:pt>
                <c:pt idx="1">
                  <c:v>12.25</c:v>
                </c:pt>
                <c:pt idx="2">
                  <c:v>11.6</c:v>
                </c:pt>
                <c:pt idx="3">
                  <c:v>13.1</c:v>
                </c:pt>
                <c:pt idx="4">
                  <c:v>12.555</c:v>
                </c:pt>
                <c:pt idx="5">
                  <c:v>12.5</c:v>
                </c:pt>
                <c:pt idx="8">
                  <c:v>9.5</c:v>
                </c:pt>
                <c:pt idx="9">
                  <c:v>10.66</c:v>
                </c:pt>
                <c:pt idx="10">
                  <c:v>12.94</c:v>
                </c:pt>
                <c:pt idx="11">
                  <c:v>10.5</c:v>
                </c:pt>
                <c:pt idx="12">
                  <c:v>10.909000000000001</c:v>
                </c:pt>
                <c:pt idx="13">
                  <c:v>9.8000000000000007</c:v>
                </c:pt>
                <c:pt idx="16">
                  <c:v>10.6</c:v>
                </c:pt>
                <c:pt idx="17">
                  <c:v>12.33</c:v>
                </c:pt>
                <c:pt idx="18">
                  <c:v>12.4</c:v>
                </c:pt>
                <c:pt idx="19">
                  <c:v>12.5</c:v>
                </c:pt>
                <c:pt idx="20">
                  <c:v>12.806800000000001</c:v>
                </c:pt>
                <c:pt idx="21">
                  <c:v>12.3</c:v>
                </c:pt>
              </c:numCache>
            </c:numRef>
          </c:xVal>
          <c:yVal>
            <c:numRef>
              <c:f>'LAD2'!$C$2:$C$22</c:f>
              <c:numCache>
                <c:formatCode>General</c:formatCode>
                <c:ptCount val="21"/>
                <c:pt idx="0">
                  <c:v>11.8</c:v>
                </c:pt>
                <c:pt idx="1">
                  <c:v>12.4</c:v>
                </c:pt>
                <c:pt idx="2">
                  <c:v>11.7</c:v>
                </c:pt>
                <c:pt idx="3">
                  <c:v>12.7</c:v>
                </c:pt>
                <c:pt idx="4">
                  <c:v>12.9794</c:v>
                </c:pt>
                <c:pt idx="5">
                  <c:v>12.9</c:v>
                </c:pt>
                <c:pt idx="8">
                  <c:v>10.8</c:v>
                </c:pt>
                <c:pt idx="9">
                  <c:v>13.48</c:v>
                </c:pt>
                <c:pt idx="10">
                  <c:v>11.1</c:v>
                </c:pt>
                <c:pt idx="11">
                  <c:v>11</c:v>
                </c:pt>
                <c:pt idx="12">
                  <c:v>11.3735</c:v>
                </c:pt>
                <c:pt idx="13">
                  <c:v>10.7</c:v>
                </c:pt>
                <c:pt idx="16">
                  <c:v>12</c:v>
                </c:pt>
                <c:pt idx="17">
                  <c:v>13.72</c:v>
                </c:pt>
                <c:pt idx="18">
                  <c:v>12.3</c:v>
                </c:pt>
                <c:pt idx="19">
                  <c:v>13</c:v>
                </c:pt>
                <c:pt idx="20">
                  <c:v>13.359500000000001</c:v>
                </c:pt>
              </c:numCache>
            </c:numRef>
          </c:yVal>
          <c:smooth val="0"/>
          <c:extLst>
            <c:ext xmlns:c16="http://schemas.microsoft.com/office/drawing/2014/chart" uri="{C3380CC4-5D6E-409C-BE32-E72D297353CC}">
              <c16:uniqueId val="{00000001-1F90-4086-BD9E-14B57C71D20A}"/>
            </c:ext>
          </c:extLst>
        </c:ser>
        <c:dLbls>
          <c:showLegendKey val="0"/>
          <c:showVal val="0"/>
          <c:showCatName val="0"/>
          <c:showSerName val="0"/>
          <c:showPercent val="0"/>
          <c:showBubbleSize val="0"/>
        </c:dLbls>
        <c:axId val="503533472"/>
        <c:axId val="503534192"/>
      </c:scatterChart>
      <c:valAx>
        <c:axId val="503533472"/>
        <c:scaling>
          <c:orientation val="minMax"/>
          <c:max val="20"/>
          <c:min val="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4192"/>
        <c:crosses val="autoZero"/>
        <c:crossBetween val="midCat"/>
      </c:valAx>
      <c:valAx>
        <c:axId val="503534192"/>
        <c:scaling>
          <c:orientation val="minMax"/>
          <c:max val="15"/>
          <c:min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3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LAD2 TRS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AC LAD2 TRS BHH</c:v>
          </c:tx>
          <c:spPr>
            <a:ln w="25400" cap="rnd">
              <a:noFill/>
              <a:round/>
            </a:ln>
            <a:effectLst/>
          </c:spPr>
          <c:marker>
            <c:symbol val="circle"/>
            <c:size val="5"/>
            <c:spPr>
              <a:solidFill>
                <a:schemeClr val="accent1"/>
              </a:solidFill>
              <a:ln w="9525">
                <a:solidFill>
                  <a:schemeClr val="accent1"/>
                </a:solidFill>
              </a:ln>
              <a:effectLst/>
            </c:spPr>
          </c:marker>
          <c:xVal>
            <c:numRef>
              <c:f>'LAD2'!$L$2:$L$25</c:f>
              <c:numCache>
                <c:formatCode>General</c:formatCode>
                <c:ptCount val="24"/>
                <c:pt idx="0">
                  <c:v>-82.5</c:v>
                </c:pt>
                <c:pt idx="1">
                  <c:v>-82.900800000000004</c:v>
                </c:pt>
                <c:pt idx="2">
                  <c:v>-83.289900000000003</c:v>
                </c:pt>
                <c:pt idx="3">
                  <c:v>-81.45</c:v>
                </c:pt>
                <c:pt idx="4">
                  <c:v>-82.929900000000004</c:v>
                </c:pt>
                <c:pt idx="5">
                  <c:v>-83.3596</c:v>
                </c:pt>
                <c:pt idx="6">
                  <c:v>-83.211399999999998</c:v>
                </c:pt>
                <c:pt idx="7">
                  <c:v>-82.83</c:v>
                </c:pt>
                <c:pt idx="8">
                  <c:v>-81.5</c:v>
                </c:pt>
                <c:pt idx="9">
                  <c:v>-83.226399999999998</c:v>
                </c:pt>
                <c:pt idx="10">
                  <c:v>-83.401799999999994</c:v>
                </c:pt>
                <c:pt idx="11">
                  <c:v>-81.03</c:v>
                </c:pt>
                <c:pt idx="12">
                  <c:v>-81.493300000000005</c:v>
                </c:pt>
                <c:pt idx="13">
                  <c:v>-83.828999999999994</c:v>
                </c:pt>
                <c:pt idx="14">
                  <c:v>-82.776600000000002</c:v>
                </c:pt>
                <c:pt idx="15">
                  <c:v>-83.652799999999999</c:v>
                </c:pt>
                <c:pt idx="16">
                  <c:v>-83.5</c:v>
                </c:pt>
                <c:pt idx="17">
                  <c:v>-84.045599999999993</c:v>
                </c:pt>
                <c:pt idx="18">
                  <c:v>-82.184200000000004</c:v>
                </c:pt>
                <c:pt idx="19">
                  <c:v>-82.72</c:v>
                </c:pt>
                <c:pt idx="20">
                  <c:v>-84.7637</c:v>
                </c:pt>
                <c:pt idx="21">
                  <c:v>-84.146500000000003</c:v>
                </c:pt>
                <c:pt idx="22">
                  <c:v>-84.944400000000002</c:v>
                </c:pt>
                <c:pt idx="23">
                  <c:v>-82.213999999999999</c:v>
                </c:pt>
              </c:numCache>
            </c:numRef>
          </c:xVal>
          <c:yVal>
            <c:numRef>
              <c:f>'LAD2'!$M$2:$M$25</c:f>
              <c:numCache>
                <c:formatCode>General</c:formatCode>
                <c:ptCount val="24"/>
                <c:pt idx="0">
                  <c:v>-81.7</c:v>
                </c:pt>
                <c:pt idx="1">
                  <c:v>-82.978200000000001</c:v>
                </c:pt>
                <c:pt idx="2">
                  <c:v>-83.037199999999999</c:v>
                </c:pt>
                <c:pt idx="3">
                  <c:v>-81.91</c:v>
                </c:pt>
                <c:pt idx="4">
                  <c:v>-82.840800000000002</c:v>
                </c:pt>
                <c:pt idx="5">
                  <c:v>-83.237200000000001</c:v>
                </c:pt>
                <c:pt idx="6">
                  <c:v>-83.001499999999993</c:v>
                </c:pt>
                <c:pt idx="7">
                  <c:v>-82.329800000000006</c:v>
                </c:pt>
                <c:pt idx="8">
                  <c:v>-80.7</c:v>
                </c:pt>
                <c:pt idx="9">
                  <c:v>-81.959900000000005</c:v>
                </c:pt>
                <c:pt idx="10">
                  <c:v>-82.787700000000001</c:v>
                </c:pt>
                <c:pt idx="11">
                  <c:v>-81.31</c:v>
                </c:pt>
                <c:pt idx="12">
                  <c:v>-83.301400000000001</c:v>
                </c:pt>
                <c:pt idx="13">
                  <c:v>-82.766199999999998</c:v>
                </c:pt>
                <c:pt idx="14">
                  <c:v>-82.109700000000004</c:v>
                </c:pt>
                <c:pt idx="15">
                  <c:v>-82.590999999999994</c:v>
                </c:pt>
                <c:pt idx="16">
                  <c:v>-81.5</c:v>
                </c:pt>
                <c:pt idx="17">
                  <c:v>-83.957700000000003</c:v>
                </c:pt>
                <c:pt idx="18">
                  <c:v>-82.041200000000003</c:v>
                </c:pt>
                <c:pt idx="19">
                  <c:v>-82.72</c:v>
                </c:pt>
                <c:pt idx="20">
                  <c:v>-84.388099999999994</c:v>
                </c:pt>
                <c:pt idx="21">
                  <c:v>-84.111000000000004</c:v>
                </c:pt>
                <c:pt idx="22">
                  <c:v>-84.194800000000001</c:v>
                </c:pt>
                <c:pt idx="23">
                  <c:v>-83.234399999999994</c:v>
                </c:pt>
              </c:numCache>
            </c:numRef>
          </c:yVal>
          <c:smooth val="0"/>
          <c:extLst>
            <c:ext xmlns:c16="http://schemas.microsoft.com/office/drawing/2014/chart" uri="{C3380CC4-5D6E-409C-BE32-E72D297353CC}">
              <c16:uniqueId val="{00000000-8360-4AF3-AC97-81A15F2FC056}"/>
            </c:ext>
          </c:extLst>
        </c:ser>
        <c:ser>
          <c:idx val="2"/>
          <c:order val="1"/>
          <c:tx>
            <c:v>RC LAD2 TRS BHH</c:v>
          </c:tx>
          <c:spPr>
            <a:ln w="25400" cap="rnd">
              <a:noFill/>
              <a:round/>
            </a:ln>
            <a:effectLst/>
          </c:spPr>
          <c:marker>
            <c:symbol val="circle"/>
            <c:size val="5"/>
            <c:spPr>
              <a:solidFill>
                <a:schemeClr val="accent3"/>
              </a:solidFill>
              <a:ln w="9525">
                <a:solidFill>
                  <a:schemeClr val="accent3"/>
                </a:solidFill>
              </a:ln>
              <a:effectLst/>
            </c:spPr>
          </c:marker>
          <c:xVal>
            <c:numRef>
              <c:f>'LAD2'!$D$2:$D$25</c:f>
              <c:numCache>
                <c:formatCode>General</c:formatCode>
                <c:ptCount val="24"/>
                <c:pt idx="0">
                  <c:v>-80.8</c:v>
                </c:pt>
                <c:pt idx="1">
                  <c:v>-82.155000000000001</c:v>
                </c:pt>
                <c:pt idx="2">
                  <c:v>-82.85</c:v>
                </c:pt>
                <c:pt idx="3">
                  <c:v>-81.2</c:v>
                </c:pt>
                <c:pt idx="4">
                  <c:v>-81.2</c:v>
                </c:pt>
                <c:pt idx="5">
                  <c:v>-82.3</c:v>
                </c:pt>
                <c:pt idx="8">
                  <c:v>-80.7</c:v>
                </c:pt>
                <c:pt idx="9">
                  <c:v>-81.63</c:v>
                </c:pt>
                <c:pt idx="10">
                  <c:v>-82.4</c:v>
                </c:pt>
                <c:pt idx="11">
                  <c:v>-81.400000000000006</c:v>
                </c:pt>
                <c:pt idx="12">
                  <c:v>-81.929900000000004</c:v>
                </c:pt>
                <c:pt idx="13">
                  <c:v>-82.6</c:v>
                </c:pt>
                <c:pt idx="16">
                  <c:v>-82.1</c:v>
                </c:pt>
                <c:pt idx="17">
                  <c:v>-82.52</c:v>
                </c:pt>
                <c:pt idx="18">
                  <c:v>-84.85</c:v>
                </c:pt>
                <c:pt idx="19">
                  <c:v>-82.8</c:v>
                </c:pt>
                <c:pt idx="20">
                  <c:v>-83</c:v>
                </c:pt>
                <c:pt idx="21">
                  <c:v>-83.1</c:v>
                </c:pt>
              </c:numCache>
            </c:numRef>
          </c:xVal>
          <c:yVal>
            <c:numRef>
              <c:f>'LAD2'!$E$2:$E$25</c:f>
              <c:numCache>
                <c:formatCode>General</c:formatCode>
                <c:ptCount val="24"/>
                <c:pt idx="0">
                  <c:v>-81.2</c:v>
                </c:pt>
                <c:pt idx="1">
                  <c:v>-81.997</c:v>
                </c:pt>
                <c:pt idx="2">
                  <c:v>-84.1</c:v>
                </c:pt>
                <c:pt idx="3">
                  <c:v>-81.2</c:v>
                </c:pt>
                <c:pt idx="4">
                  <c:v>-81.818799999999996</c:v>
                </c:pt>
                <c:pt idx="5">
                  <c:v>-81.5</c:v>
                </c:pt>
                <c:pt idx="8">
                  <c:v>-81.099999999999994</c:v>
                </c:pt>
                <c:pt idx="9">
                  <c:v>-82.16</c:v>
                </c:pt>
                <c:pt idx="10">
                  <c:v>-83.2</c:v>
                </c:pt>
                <c:pt idx="11">
                  <c:v>-81.099999999999994</c:v>
                </c:pt>
                <c:pt idx="12">
                  <c:v>-82.415400000000005</c:v>
                </c:pt>
                <c:pt idx="13">
                  <c:v>-82.3</c:v>
                </c:pt>
                <c:pt idx="16">
                  <c:v>-81.7</c:v>
                </c:pt>
                <c:pt idx="17">
                  <c:v>-83.72</c:v>
                </c:pt>
                <c:pt idx="18">
                  <c:v>-85.09</c:v>
                </c:pt>
                <c:pt idx="19">
                  <c:v>-82.1</c:v>
                </c:pt>
                <c:pt idx="20">
                  <c:v>-83.156599999999997</c:v>
                </c:pt>
                <c:pt idx="21">
                  <c:v>-82.5</c:v>
                </c:pt>
              </c:numCache>
            </c:numRef>
          </c:yVal>
          <c:smooth val="0"/>
          <c:extLst>
            <c:ext xmlns:c16="http://schemas.microsoft.com/office/drawing/2014/chart" uri="{C3380CC4-5D6E-409C-BE32-E72D297353CC}">
              <c16:uniqueId val="{00000001-8360-4AF3-AC97-81A15F2FC056}"/>
            </c:ext>
          </c:extLst>
        </c:ser>
        <c:dLbls>
          <c:showLegendKey val="0"/>
          <c:showVal val="0"/>
          <c:showCatName val="0"/>
          <c:showSerName val="0"/>
          <c:showPercent val="0"/>
          <c:showBubbleSize val="0"/>
        </c:dLbls>
        <c:axId val="503533472"/>
        <c:axId val="503534192"/>
      </c:scatterChart>
      <c:valAx>
        <c:axId val="503533472"/>
        <c:scaling>
          <c:orientation val="minMax"/>
          <c:max val="-75"/>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4192"/>
        <c:crosses val="autoZero"/>
        <c:crossBetween val="midCat"/>
      </c:valAx>
      <c:valAx>
        <c:axId val="503534192"/>
        <c:scaling>
          <c:orientation val="minMax"/>
          <c:max val="-75"/>
          <c:min val="-9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3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LAD3 TRP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AC LAD3 TRP BHH</c:v>
          </c:tx>
          <c:spPr>
            <a:ln w="19050" cap="rnd">
              <a:noFill/>
              <a:round/>
            </a:ln>
            <a:effectLst/>
          </c:spPr>
          <c:marker>
            <c:symbol val="circle"/>
            <c:size val="5"/>
            <c:spPr>
              <a:solidFill>
                <a:schemeClr val="accent1"/>
              </a:solidFill>
              <a:ln w="9525">
                <a:solidFill>
                  <a:schemeClr val="accent1"/>
                </a:solidFill>
              </a:ln>
              <a:effectLst/>
            </c:spPr>
          </c:marker>
          <c:xVal>
            <c:numRef>
              <c:f>'LAD3'!$J$2:$J$25</c:f>
              <c:numCache>
                <c:formatCode>General</c:formatCode>
                <c:ptCount val="24"/>
                <c:pt idx="0">
                  <c:v>12.2</c:v>
                </c:pt>
                <c:pt idx="1">
                  <c:v>12.204000000000001</c:v>
                </c:pt>
                <c:pt idx="2">
                  <c:v>9.96448</c:v>
                </c:pt>
                <c:pt idx="3">
                  <c:v>12.1</c:v>
                </c:pt>
                <c:pt idx="4">
                  <c:v>13.2705</c:v>
                </c:pt>
                <c:pt idx="5">
                  <c:v>9.9818899999999999</c:v>
                </c:pt>
                <c:pt idx="6">
                  <c:v>10.4</c:v>
                </c:pt>
                <c:pt idx="7">
                  <c:v>10.411199999999999</c:v>
                </c:pt>
                <c:pt idx="8">
                  <c:v>12.34</c:v>
                </c:pt>
                <c:pt idx="9">
                  <c:v>12.212899999999999</c:v>
                </c:pt>
                <c:pt idx="10">
                  <c:v>10.913</c:v>
                </c:pt>
                <c:pt idx="11">
                  <c:v>12.2</c:v>
                </c:pt>
                <c:pt idx="12">
                  <c:v>12.451599999999999</c:v>
                </c:pt>
                <c:pt idx="13">
                  <c:v>9.5480099999999997</c:v>
                </c:pt>
                <c:pt idx="14">
                  <c:v>10.3</c:v>
                </c:pt>
                <c:pt idx="15">
                  <c:v>11.224500000000001</c:v>
                </c:pt>
                <c:pt idx="16">
                  <c:v>12.48</c:v>
                </c:pt>
                <c:pt idx="17">
                  <c:v>12.6569</c:v>
                </c:pt>
                <c:pt idx="18">
                  <c:v>11.5694</c:v>
                </c:pt>
                <c:pt idx="19">
                  <c:v>12</c:v>
                </c:pt>
                <c:pt idx="20">
                  <c:v>12.994400000000001</c:v>
                </c:pt>
                <c:pt idx="21">
                  <c:v>10.157500000000001</c:v>
                </c:pt>
                <c:pt idx="22">
                  <c:v>10.5</c:v>
                </c:pt>
                <c:pt idx="23">
                  <c:v>11.119400000000001</c:v>
                </c:pt>
              </c:numCache>
            </c:numRef>
          </c:xVal>
          <c:yVal>
            <c:numRef>
              <c:f>'LAD3'!$K$2:$K$25</c:f>
              <c:numCache>
                <c:formatCode>General</c:formatCode>
                <c:ptCount val="24"/>
                <c:pt idx="0">
                  <c:v>11.35</c:v>
                </c:pt>
                <c:pt idx="1">
                  <c:v>10.234999999999999</c:v>
                </c:pt>
                <c:pt idx="2">
                  <c:v>10.713100000000001</c:v>
                </c:pt>
                <c:pt idx="3">
                  <c:v>10.7</c:v>
                </c:pt>
                <c:pt idx="4">
                  <c:v>11.2476</c:v>
                </c:pt>
                <c:pt idx="5">
                  <c:v>9.9354099999999992</c:v>
                </c:pt>
                <c:pt idx="6">
                  <c:v>10.4</c:v>
                </c:pt>
                <c:pt idx="7">
                  <c:v>9.6046099999999992</c:v>
                </c:pt>
                <c:pt idx="8">
                  <c:v>11.04</c:v>
                </c:pt>
                <c:pt idx="9">
                  <c:v>9.8090200000000003</c:v>
                </c:pt>
                <c:pt idx="10">
                  <c:v>10.488300000000001</c:v>
                </c:pt>
                <c:pt idx="11">
                  <c:v>10.6</c:v>
                </c:pt>
                <c:pt idx="12">
                  <c:v>10.2294</c:v>
                </c:pt>
                <c:pt idx="13">
                  <c:v>9.1218699999999995</c:v>
                </c:pt>
                <c:pt idx="14">
                  <c:v>10.199999999999999</c:v>
                </c:pt>
                <c:pt idx="15">
                  <c:v>9.9656300000000009</c:v>
                </c:pt>
                <c:pt idx="16">
                  <c:v>11.34</c:v>
                </c:pt>
                <c:pt idx="17">
                  <c:v>10.515599999999999</c:v>
                </c:pt>
                <c:pt idx="18">
                  <c:v>11.1563</c:v>
                </c:pt>
                <c:pt idx="19">
                  <c:v>10.5</c:v>
                </c:pt>
                <c:pt idx="20">
                  <c:v>11.093299999999999</c:v>
                </c:pt>
                <c:pt idx="21">
                  <c:v>9.9023400000000006</c:v>
                </c:pt>
                <c:pt idx="22">
                  <c:v>10.3</c:v>
                </c:pt>
                <c:pt idx="23">
                  <c:v>10.093</c:v>
                </c:pt>
              </c:numCache>
            </c:numRef>
          </c:yVal>
          <c:smooth val="0"/>
          <c:extLst>
            <c:ext xmlns:c16="http://schemas.microsoft.com/office/drawing/2014/chart" uri="{C3380CC4-5D6E-409C-BE32-E72D297353CC}">
              <c16:uniqueId val="{00000000-98F6-4146-B991-3AC8AD368A6B}"/>
            </c:ext>
          </c:extLst>
        </c:ser>
        <c:ser>
          <c:idx val="2"/>
          <c:order val="1"/>
          <c:tx>
            <c:v>RC LAD3 TRP BHH</c:v>
          </c:tx>
          <c:spPr>
            <a:ln w="19050" cap="rnd">
              <a:noFill/>
              <a:round/>
            </a:ln>
            <a:effectLst/>
          </c:spPr>
          <c:marker>
            <c:symbol val="circle"/>
            <c:size val="5"/>
            <c:spPr>
              <a:solidFill>
                <a:schemeClr val="accent3"/>
              </a:solidFill>
              <a:ln w="9525">
                <a:solidFill>
                  <a:schemeClr val="accent3"/>
                </a:solidFill>
              </a:ln>
              <a:effectLst/>
            </c:spPr>
          </c:marker>
          <c:xVal>
            <c:numRef>
              <c:f>'LAD3'!$B$2:$B$25</c:f>
              <c:numCache>
                <c:formatCode>General</c:formatCode>
                <c:ptCount val="24"/>
                <c:pt idx="0">
                  <c:v>9.1</c:v>
                </c:pt>
                <c:pt idx="1">
                  <c:v>13.47</c:v>
                </c:pt>
                <c:pt idx="2">
                  <c:v>10.66</c:v>
                </c:pt>
                <c:pt idx="3">
                  <c:v>11.9</c:v>
                </c:pt>
                <c:pt idx="4">
                  <c:v>12.3978</c:v>
                </c:pt>
                <c:pt idx="8">
                  <c:v>8.65</c:v>
                </c:pt>
                <c:pt idx="9">
                  <c:v>13.19</c:v>
                </c:pt>
                <c:pt idx="10">
                  <c:v>11.24</c:v>
                </c:pt>
                <c:pt idx="11">
                  <c:v>11.6</c:v>
                </c:pt>
                <c:pt idx="12">
                  <c:v>11.38</c:v>
                </c:pt>
                <c:pt idx="16">
                  <c:v>9.57</c:v>
                </c:pt>
                <c:pt idx="17">
                  <c:v>13.52</c:v>
                </c:pt>
                <c:pt idx="18">
                  <c:v>11.63</c:v>
                </c:pt>
                <c:pt idx="19">
                  <c:v>12.7</c:v>
                </c:pt>
                <c:pt idx="20">
                  <c:v>12.817</c:v>
                </c:pt>
              </c:numCache>
            </c:numRef>
          </c:xVal>
          <c:yVal>
            <c:numRef>
              <c:f>'LAD3'!$C$2:$C$22</c:f>
              <c:numCache>
                <c:formatCode>General</c:formatCode>
                <c:ptCount val="21"/>
                <c:pt idx="0">
                  <c:v>10.06</c:v>
                </c:pt>
                <c:pt idx="1">
                  <c:v>11.04</c:v>
                </c:pt>
                <c:pt idx="2">
                  <c:v>10.73</c:v>
                </c:pt>
                <c:pt idx="3">
                  <c:v>10.4</c:v>
                </c:pt>
                <c:pt idx="4">
                  <c:v>9.4723900000000008</c:v>
                </c:pt>
                <c:pt idx="8">
                  <c:v>9.8000000000000007</c:v>
                </c:pt>
                <c:pt idx="9">
                  <c:v>10.76</c:v>
                </c:pt>
                <c:pt idx="10">
                  <c:v>10.4</c:v>
                </c:pt>
                <c:pt idx="11">
                  <c:v>9.9700000000000006</c:v>
                </c:pt>
                <c:pt idx="12">
                  <c:v>8.7237600000000004</c:v>
                </c:pt>
                <c:pt idx="16">
                  <c:v>10.34</c:v>
                </c:pt>
                <c:pt idx="17">
                  <c:v>11.92</c:v>
                </c:pt>
                <c:pt idx="18">
                  <c:v>11.06</c:v>
                </c:pt>
                <c:pt idx="19">
                  <c:v>10.9</c:v>
                </c:pt>
                <c:pt idx="20">
                  <c:v>10.1097</c:v>
                </c:pt>
              </c:numCache>
            </c:numRef>
          </c:yVal>
          <c:smooth val="0"/>
          <c:extLst>
            <c:ext xmlns:c16="http://schemas.microsoft.com/office/drawing/2014/chart" uri="{C3380CC4-5D6E-409C-BE32-E72D297353CC}">
              <c16:uniqueId val="{00000001-98F6-4146-B991-3AC8AD368A6B}"/>
            </c:ext>
          </c:extLst>
        </c:ser>
        <c:dLbls>
          <c:showLegendKey val="0"/>
          <c:showVal val="0"/>
          <c:showCatName val="0"/>
          <c:showSerName val="0"/>
          <c:showPercent val="0"/>
          <c:showBubbleSize val="0"/>
        </c:dLbls>
        <c:axId val="503533472"/>
        <c:axId val="503534192"/>
      </c:scatterChart>
      <c:valAx>
        <c:axId val="503533472"/>
        <c:scaling>
          <c:orientation val="minMax"/>
          <c:max val="20"/>
          <c:min val="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4192"/>
        <c:crosses val="autoZero"/>
        <c:crossBetween val="midCat"/>
      </c:valAx>
      <c:valAx>
        <c:axId val="503534192"/>
        <c:scaling>
          <c:orientation val="minMax"/>
          <c:max val="15"/>
          <c:min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3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LAD3 TRS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AC LAD3 TRS BHH</c:v>
          </c:tx>
          <c:spPr>
            <a:ln w="25400" cap="rnd">
              <a:noFill/>
              <a:round/>
            </a:ln>
            <a:effectLst/>
          </c:spPr>
          <c:marker>
            <c:symbol val="circle"/>
            <c:size val="5"/>
            <c:spPr>
              <a:solidFill>
                <a:schemeClr val="accent1"/>
              </a:solidFill>
              <a:ln w="9525">
                <a:solidFill>
                  <a:schemeClr val="accent1"/>
                </a:solidFill>
              </a:ln>
              <a:effectLst/>
            </c:spPr>
          </c:marker>
          <c:xVal>
            <c:numRef>
              <c:f>'LAD3'!$L$2:$L$25</c:f>
              <c:numCache>
                <c:formatCode>General</c:formatCode>
                <c:ptCount val="24"/>
                <c:pt idx="0">
                  <c:v>-83.969499999999996</c:v>
                </c:pt>
                <c:pt idx="1">
                  <c:v>-85.035600000000002</c:v>
                </c:pt>
                <c:pt idx="2">
                  <c:v>-84.806209999999993</c:v>
                </c:pt>
                <c:pt idx="3">
                  <c:v>-83.8</c:v>
                </c:pt>
                <c:pt idx="4">
                  <c:v>-85.819199999999995</c:v>
                </c:pt>
                <c:pt idx="5">
                  <c:v>-82.626499999999993</c:v>
                </c:pt>
                <c:pt idx="6">
                  <c:v>-85.5</c:v>
                </c:pt>
                <c:pt idx="7">
                  <c:v>-84.890100000000004</c:v>
                </c:pt>
                <c:pt idx="8">
                  <c:v>-83.250900000000001</c:v>
                </c:pt>
                <c:pt idx="9">
                  <c:v>-83.376999999999995</c:v>
                </c:pt>
                <c:pt idx="10">
                  <c:v>-83.024625</c:v>
                </c:pt>
                <c:pt idx="11">
                  <c:v>-82.6</c:v>
                </c:pt>
                <c:pt idx="12">
                  <c:v>-85.430499999999995</c:v>
                </c:pt>
                <c:pt idx="13">
                  <c:v>-82.712400000000002</c:v>
                </c:pt>
                <c:pt idx="14">
                  <c:v>-84.1</c:v>
                </c:pt>
                <c:pt idx="15">
                  <c:v>-83.844700000000003</c:v>
                </c:pt>
                <c:pt idx="16">
                  <c:v>-83.975999999999999</c:v>
                </c:pt>
                <c:pt idx="17">
                  <c:v>-85.322400000000002</c:v>
                </c:pt>
                <c:pt idx="18">
                  <c:v>-83.974248000000003</c:v>
                </c:pt>
                <c:pt idx="19">
                  <c:v>-83.4</c:v>
                </c:pt>
                <c:pt idx="20">
                  <c:v>-86.109899999999996</c:v>
                </c:pt>
                <c:pt idx="21">
                  <c:v>-83.656400000000005</c:v>
                </c:pt>
                <c:pt idx="22">
                  <c:v>-85.4</c:v>
                </c:pt>
                <c:pt idx="23">
                  <c:v>-84.862200000000001</c:v>
                </c:pt>
              </c:numCache>
            </c:numRef>
          </c:xVal>
          <c:yVal>
            <c:numRef>
              <c:f>'LAD3'!$M$2:$M$25</c:f>
              <c:numCache>
                <c:formatCode>General</c:formatCode>
                <c:ptCount val="24"/>
                <c:pt idx="0">
                  <c:v>-84.094999999999999</c:v>
                </c:pt>
                <c:pt idx="1">
                  <c:v>-85.187299999999993</c:v>
                </c:pt>
                <c:pt idx="2">
                  <c:v>-84.554863999999995</c:v>
                </c:pt>
                <c:pt idx="3">
                  <c:v>-84.4</c:v>
                </c:pt>
                <c:pt idx="4">
                  <c:v>-86.049099999999996</c:v>
                </c:pt>
                <c:pt idx="5">
                  <c:v>-84.564300000000003</c:v>
                </c:pt>
                <c:pt idx="6">
                  <c:v>-86</c:v>
                </c:pt>
                <c:pt idx="7">
                  <c:v>-86.066900000000004</c:v>
                </c:pt>
                <c:pt idx="8">
                  <c:v>-82.852999999999994</c:v>
                </c:pt>
                <c:pt idx="9">
                  <c:v>-83.015100000000004</c:v>
                </c:pt>
                <c:pt idx="10">
                  <c:v>-83.039036999999993</c:v>
                </c:pt>
                <c:pt idx="11">
                  <c:v>-83.5</c:v>
                </c:pt>
                <c:pt idx="12">
                  <c:v>-85.567099999999996</c:v>
                </c:pt>
                <c:pt idx="13">
                  <c:v>-83.533500000000004</c:v>
                </c:pt>
                <c:pt idx="14">
                  <c:v>-84.6</c:v>
                </c:pt>
                <c:pt idx="15">
                  <c:v>-85.582800000000006</c:v>
                </c:pt>
                <c:pt idx="16">
                  <c:v>-83.900700000000001</c:v>
                </c:pt>
                <c:pt idx="17">
                  <c:v>-85.325999999999993</c:v>
                </c:pt>
                <c:pt idx="18">
                  <c:v>-84.113146</c:v>
                </c:pt>
                <c:pt idx="19">
                  <c:v>-84.1</c:v>
                </c:pt>
                <c:pt idx="20">
                  <c:v>-86.378900000000002</c:v>
                </c:pt>
                <c:pt idx="21">
                  <c:v>-84.404300000000006</c:v>
                </c:pt>
                <c:pt idx="22">
                  <c:v>-85.6</c:v>
                </c:pt>
                <c:pt idx="23">
                  <c:v>-86.885599999999997</c:v>
                </c:pt>
              </c:numCache>
            </c:numRef>
          </c:yVal>
          <c:smooth val="0"/>
          <c:extLst>
            <c:ext xmlns:c16="http://schemas.microsoft.com/office/drawing/2014/chart" uri="{C3380CC4-5D6E-409C-BE32-E72D297353CC}">
              <c16:uniqueId val="{00000000-99B5-4D77-A364-632B337A1A54}"/>
            </c:ext>
          </c:extLst>
        </c:ser>
        <c:ser>
          <c:idx val="2"/>
          <c:order val="1"/>
          <c:tx>
            <c:v>RC LAD3 TRS BHH</c:v>
          </c:tx>
          <c:spPr>
            <a:ln w="25400" cap="rnd">
              <a:noFill/>
              <a:round/>
            </a:ln>
            <a:effectLst/>
          </c:spPr>
          <c:marker>
            <c:symbol val="circle"/>
            <c:size val="5"/>
            <c:spPr>
              <a:solidFill>
                <a:schemeClr val="accent3"/>
              </a:solidFill>
              <a:ln w="9525">
                <a:solidFill>
                  <a:schemeClr val="accent3"/>
                </a:solidFill>
              </a:ln>
              <a:effectLst/>
            </c:spPr>
          </c:marker>
          <c:xVal>
            <c:numRef>
              <c:f>'LAD3'!$D$2:$D$25</c:f>
              <c:numCache>
                <c:formatCode>General</c:formatCode>
                <c:ptCount val="24"/>
                <c:pt idx="0">
                  <c:v>-82.45</c:v>
                </c:pt>
                <c:pt idx="1">
                  <c:v>-83.9</c:v>
                </c:pt>
                <c:pt idx="2">
                  <c:v>-81.14</c:v>
                </c:pt>
                <c:pt idx="3">
                  <c:v>-83.4</c:v>
                </c:pt>
                <c:pt idx="4">
                  <c:v>-82.775700000000001</c:v>
                </c:pt>
                <c:pt idx="8">
                  <c:v>-81.96</c:v>
                </c:pt>
                <c:pt idx="9">
                  <c:v>-83.65</c:v>
                </c:pt>
                <c:pt idx="10">
                  <c:v>-82.43</c:v>
                </c:pt>
                <c:pt idx="11">
                  <c:v>-82.8</c:v>
                </c:pt>
                <c:pt idx="12">
                  <c:v>-81.636600000000001</c:v>
                </c:pt>
                <c:pt idx="16">
                  <c:v>-82.99</c:v>
                </c:pt>
                <c:pt idx="17">
                  <c:v>-84.4</c:v>
                </c:pt>
                <c:pt idx="18">
                  <c:v>-82.8</c:v>
                </c:pt>
                <c:pt idx="19">
                  <c:v>-83.7</c:v>
                </c:pt>
                <c:pt idx="20">
                  <c:v>-83.041600000000003</c:v>
                </c:pt>
              </c:numCache>
            </c:numRef>
          </c:xVal>
          <c:yVal>
            <c:numRef>
              <c:f>'LAD3'!$E$2:$E$25</c:f>
              <c:numCache>
                <c:formatCode>General</c:formatCode>
                <c:ptCount val="24"/>
                <c:pt idx="0">
                  <c:v>-80.84</c:v>
                </c:pt>
                <c:pt idx="1">
                  <c:v>-83.67</c:v>
                </c:pt>
                <c:pt idx="2">
                  <c:v>-83.9161</c:v>
                </c:pt>
                <c:pt idx="3">
                  <c:v>-83.9</c:v>
                </c:pt>
                <c:pt idx="4">
                  <c:v>-81.151700000000005</c:v>
                </c:pt>
                <c:pt idx="8">
                  <c:v>-80.45</c:v>
                </c:pt>
                <c:pt idx="9">
                  <c:v>-82.8</c:v>
                </c:pt>
                <c:pt idx="10">
                  <c:v>-82.112399999999994</c:v>
                </c:pt>
                <c:pt idx="11">
                  <c:v>-83.2</c:v>
                </c:pt>
                <c:pt idx="12">
                  <c:v>-81.000100000000003</c:v>
                </c:pt>
                <c:pt idx="16">
                  <c:v>-81.3</c:v>
                </c:pt>
                <c:pt idx="17">
                  <c:v>-84.07</c:v>
                </c:pt>
                <c:pt idx="18">
                  <c:v>-82.090900000000005</c:v>
                </c:pt>
                <c:pt idx="19">
                  <c:v>-83.8</c:v>
                </c:pt>
                <c:pt idx="20">
                  <c:v>-81.93</c:v>
                </c:pt>
              </c:numCache>
            </c:numRef>
          </c:yVal>
          <c:smooth val="0"/>
          <c:extLst>
            <c:ext xmlns:c16="http://schemas.microsoft.com/office/drawing/2014/chart" uri="{C3380CC4-5D6E-409C-BE32-E72D297353CC}">
              <c16:uniqueId val="{00000001-99B5-4D77-A364-632B337A1A54}"/>
            </c:ext>
          </c:extLst>
        </c:ser>
        <c:dLbls>
          <c:showLegendKey val="0"/>
          <c:showVal val="0"/>
          <c:showCatName val="0"/>
          <c:showSerName val="0"/>
          <c:showPercent val="0"/>
          <c:showBubbleSize val="0"/>
        </c:dLbls>
        <c:axId val="503533472"/>
        <c:axId val="503534192"/>
      </c:scatterChart>
      <c:valAx>
        <c:axId val="503533472"/>
        <c:scaling>
          <c:orientation val="minMax"/>
          <c:max val="-75"/>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4192"/>
        <c:crosses val="autoZero"/>
        <c:crossBetween val="midCat"/>
      </c:valAx>
      <c:valAx>
        <c:axId val="503534192"/>
        <c:scaling>
          <c:orientation val="minMax"/>
          <c:max val="-75"/>
          <c:min val="-9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3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LAD4 TRP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AC LAD4 TRP BHH</c:v>
          </c:tx>
          <c:spPr>
            <a:ln w="19050" cap="rnd">
              <a:noFill/>
              <a:round/>
            </a:ln>
            <a:effectLst/>
          </c:spPr>
          <c:marker>
            <c:symbol val="circle"/>
            <c:size val="5"/>
            <c:spPr>
              <a:solidFill>
                <a:schemeClr val="accent1"/>
              </a:solidFill>
              <a:ln w="9525">
                <a:solidFill>
                  <a:schemeClr val="accent1"/>
                </a:solidFill>
              </a:ln>
              <a:effectLst/>
            </c:spPr>
          </c:marker>
          <c:xVal>
            <c:numRef>
              <c:f>'LAD4'!$J$2:$J$25</c:f>
              <c:numCache>
                <c:formatCode>General</c:formatCode>
                <c:ptCount val="24"/>
                <c:pt idx="0">
                  <c:v>12.25</c:v>
                </c:pt>
                <c:pt idx="1">
                  <c:v>10.5169</c:v>
                </c:pt>
                <c:pt idx="2">
                  <c:v>11</c:v>
                </c:pt>
                <c:pt idx="3">
                  <c:v>11.0442</c:v>
                </c:pt>
                <c:pt idx="4">
                  <c:v>11.726100000000001</c:v>
                </c:pt>
                <c:pt idx="5">
                  <c:v>12.185499999999999</c:v>
                </c:pt>
                <c:pt idx="6">
                  <c:v>12.62</c:v>
                </c:pt>
                <c:pt idx="7">
                  <c:v>12.8249</c:v>
                </c:pt>
                <c:pt idx="8">
                  <c:v>12.57</c:v>
                </c:pt>
                <c:pt idx="9">
                  <c:v>10.7926</c:v>
                </c:pt>
                <c:pt idx="10">
                  <c:v>10.894600000000001</c:v>
                </c:pt>
                <c:pt idx="11">
                  <c:v>11</c:v>
                </c:pt>
                <c:pt idx="12">
                  <c:v>11.5702</c:v>
                </c:pt>
                <c:pt idx="13">
                  <c:v>12.361599999999999</c:v>
                </c:pt>
                <c:pt idx="14">
                  <c:v>12.4666</c:v>
                </c:pt>
                <c:pt idx="15">
                  <c:v>12.97</c:v>
                </c:pt>
                <c:pt idx="16">
                  <c:v>13.14</c:v>
                </c:pt>
                <c:pt idx="17">
                  <c:v>10.911099999999999</c:v>
                </c:pt>
                <c:pt idx="18">
                  <c:v>11.3</c:v>
                </c:pt>
                <c:pt idx="19">
                  <c:v>11.5114</c:v>
                </c:pt>
                <c:pt idx="20">
                  <c:v>11.5784</c:v>
                </c:pt>
                <c:pt idx="21">
                  <c:v>12.8535</c:v>
                </c:pt>
                <c:pt idx="22">
                  <c:v>13.08</c:v>
                </c:pt>
                <c:pt idx="23">
                  <c:v>13.1364</c:v>
                </c:pt>
              </c:numCache>
            </c:numRef>
          </c:xVal>
          <c:yVal>
            <c:numRef>
              <c:f>'LAD4'!$K$2:$K$25</c:f>
              <c:numCache>
                <c:formatCode>General</c:formatCode>
                <c:ptCount val="24"/>
                <c:pt idx="0">
                  <c:v>10</c:v>
                </c:pt>
                <c:pt idx="1">
                  <c:v>8.6394300000000008</c:v>
                </c:pt>
                <c:pt idx="2">
                  <c:v>9.8000000000000007</c:v>
                </c:pt>
                <c:pt idx="3">
                  <c:v>9.1890599999999996</c:v>
                </c:pt>
                <c:pt idx="4">
                  <c:v>10.168100000000001</c:v>
                </c:pt>
                <c:pt idx="5">
                  <c:v>9.0108599999999992</c:v>
                </c:pt>
                <c:pt idx="6">
                  <c:v>10.65</c:v>
                </c:pt>
                <c:pt idx="7">
                  <c:v>10.029999999999999</c:v>
                </c:pt>
                <c:pt idx="8">
                  <c:v>9.76</c:v>
                </c:pt>
                <c:pt idx="9">
                  <c:v>10.1891</c:v>
                </c:pt>
                <c:pt idx="10">
                  <c:v>8.4810499999999998</c:v>
                </c:pt>
                <c:pt idx="11">
                  <c:v>9.5</c:v>
                </c:pt>
                <c:pt idx="12">
                  <c:v>8.9942499999999992</c:v>
                </c:pt>
                <c:pt idx="13">
                  <c:v>8.5402100000000001</c:v>
                </c:pt>
                <c:pt idx="14">
                  <c:v>9.24085</c:v>
                </c:pt>
                <c:pt idx="15">
                  <c:v>10.28</c:v>
                </c:pt>
                <c:pt idx="16">
                  <c:v>10.74</c:v>
                </c:pt>
                <c:pt idx="17">
                  <c:v>10.7691</c:v>
                </c:pt>
                <c:pt idx="18">
                  <c:v>10.1</c:v>
                </c:pt>
                <c:pt idx="19">
                  <c:v>9.4097600000000003</c:v>
                </c:pt>
                <c:pt idx="20">
                  <c:v>9.4090100000000003</c:v>
                </c:pt>
                <c:pt idx="21">
                  <c:v>9.6028599999999997</c:v>
                </c:pt>
                <c:pt idx="22">
                  <c:v>10.85</c:v>
                </c:pt>
                <c:pt idx="23">
                  <c:v>10.2745</c:v>
                </c:pt>
              </c:numCache>
            </c:numRef>
          </c:yVal>
          <c:smooth val="0"/>
          <c:extLst>
            <c:ext xmlns:c16="http://schemas.microsoft.com/office/drawing/2014/chart" uri="{C3380CC4-5D6E-409C-BE32-E72D297353CC}">
              <c16:uniqueId val="{00000000-DBA1-4302-ACFA-8813CE22DB95}"/>
            </c:ext>
          </c:extLst>
        </c:ser>
        <c:ser>
          <c:idx val="2"/>
          <c:order val="1"/>
          <c:tx>
            <c:v>RC LAD4 TRP BHH</c:v>
          </c:tx>
          <c:spPr>
            <a:ln w="19050" cap="rnd">
              <a:noFill/>
              <a:round/>
            </a:ln>
            <a:effectLst/>
          </c:spPr>
          <c:marker>
            <c:symbol val="circle"/>
            <c:size val="5"/>
            <c:spPr>
              <a:solidFill>
                <a:schemeClr val="accent3"/>
              </a:solidFill>
              <a:ln w="9525">
                <a:solidFill>
                  <a:schemeClr val="accent3"/>
                </a:solidFill>
              </a:ln>
              <a:effectLst/>
            </c:spPr>
          </c:marker>
          <c:xVal>
            <c:numRef>
              <c:f>'LAD4'!$B$2:$B$22</c:f>
              <c:numCache>
                <c:formatCode>General</c:formatCode>
                <c:ptCount val="21"/>
                <c:pt idx="0">
                  <c:v>11.9</c:v>
                </c:pt>
                <c:pt idx="1">
                  <c:v>11.17</c:v>
                </c:pt>
                <c:pt idx="2">
                  <c:v>13.19</c:v>
                </c:pt>
                <c:pt idx="3">
                  <c:v>9.6199999999999992</c:v>
                </c:pt>
                <c:pt idx="4">
                  <c:v>11.8445</c:v>
                </c:pt>
                <c:pt idx="8">
                  <c:v>11.8</c:v>
                </c:pt>
                <c:pt idx="9">
                  <c:v>11.4</c:v>
                </c:pt>
                <c:pt idx="10">
                  <c:v>12.97</c:v>
                </c:pt>
                <c:pt idx="11">
                  <c:v>11.409000000000001</c:v>
                </c:pt>
                <c:pt idx="12">
                  <c:v>9.5</c:v>
                </c:pt>
                <c:pt idx="16">
                  <c:v>13.1</c:v>
                </c:pt>
                <c:pt idx="17">
                  <c:v>10.92</c:v>
                </c:pt>
                <c:pt idx="18">
                  <c:v>13.68</c:v>
                </c:pt>
                <c:pt idx="19">
                  <c:v>10.5</c:v>
                </c:pt>
                <c:pt idx="20">
                  <c:v>12.8499</c:v>
                </c:pt>
              </c:numCache>
            </c:numRef>
          </c:xVal>
          <c:yVal>
            <c:numRef>
              <c:f>'LAD4'!$C$2:$C$22</c:f>
              <c:numCache>
                <c:formatCode>General</c:formatCode>
                <c:ptCount val="21"/>
                <c:pt idx="0">
                  <c:v>9.6300000000000008</c:v>
                </c:pt>
                <c:pt idx="1">
                  <c:v>11.31</c:v>
                </c:pt>
                <c:pt idx="2">
                  <c:v>10.43</c:v>
                </c:pt>
                <c:pt idx="3">
                  <c:v>9.81</c:v>
                </c:pt>
                <c:pt idx="4">
                  <c:v>9.4702400000000004</c:v>
                </c:pt>
                <c:pt idx="8">
                  <c:v>9.0299999999999994</c:v>
                </c:pt>
                <c:pt idx="9">
                  <c:v>11.61</c:v>
                </c:pt>
                <c:pt idx="10">
                  <c:v>10.15</c:v>
                </c:pt>
                <c:pt idx="11">
                  <c:v>8.5630100000000002</c:v>
                </c:pt>
                <c:pt idx="12">
                  <c:v>10</c:v>
                </c:pt>
                <c:pt idx="16">
                  <c:v>10.6</c:v>
                </c:pt>
                <c:pt idx="17">
                  <c:v>11.89</c:v>
                </c:pt>
                <c:pt idx="18">
                  <c:v>11.55</c:v>
                </c:pt>
                <c:pt idx="19">
                  <c:v>10.6</c:v>
                </c:pt>
                <c:pt idx="20">
                  <c:v>10.099399999999999</c:v>
                </c:pt>
              </c:numCache>
            </c:numRef>
          </c:yVal>
          <c:smooth val="0"/>
          <c:extLst>
            <c:ext xmlns:c16="http://schemas.microsoft.com/office/drawing/2014/chart" uri="{C3380CC4-5D6E-409C-BE32-E72D297353CC}">
              <c16:uniqueId val="{00000001-DBA1-4302-ACFA-8813CE22DB95}"/>
            </c:ext>
          </c:extLst>
        </c:ser>
        <c:dLbls>
          <c:showLegendKey val="0"/>
          <c:showVal val="0"/>
          <c:showCatName val="0"/>
          <c:showSerName val="0"/>
          <c:showPercent val="0"/>
          <c:showBubbleSize val="0"/>
        </c:dLbls>
        <c:axId val="503533472"/>
        <c:axId val="503534192"/>
      </c:scatterChart>
      <c:valAx>
        <c:axId val="503533472"/>
        <c:scaling>
          <c:orientation val="minMax"/>
          <c:max val="20"/>
          <c:min val="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4192"/>
        <c:crosses val="autoZero"/>
        <c:crossBetween val="midCat"/>
      </c:valAx>
      <c:valAx>
        <c:axId val="503534192"/>
        <c:scaling>
          <c:orientation val="minMax"/>
          <c:max val="15"/>
          <c:min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3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LAD4 TRS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AC LAD4 TRS BHH</c:v>
          </c:tx>
          <c:spPr>
            <a:ln w="25400" cap="rnd">
              <a:noFill/>
              <a:round/>
            </a:ln>
            <a:effectLst/>
          </c:spPr>
          <c:marker>
            <c:symbol val="circle"/>
            <c:size val="5"/>
            <c:spPr>
              <a:solidFill>
                <a:schemeClr val="accent1"/>
              </a:solidFill>
              <a:ln w="9525">
                <a:solidFill>
                  <a:schemeClr val="accent1"/>
                </a:solidFill>
              </a:ln>
              <a:effectLst/>
            </c:spPr>
          </c:marker>
          <c:xVal>
            <c:numRef>
              <c:f>'LAD4'!$L$2:$L$25</c:f>
              <c:numCache>
                <c:formatCode>General</c:formatCode>
                <c:ptCount val="24"/>
                <c:pt idx="0">
                  <c:v>-82.8</c:v>
                </c:pt>
                <c:pt idx="1">
                  <c:v>-82.876499999999993</c:v>
                </c:pt>
                <c:pt idx="2">
                  <c:v>-83.2</c:v>
                </c:pt>
                <c:pt idx="3">
                  <c:v>-82.870099999999994</c:v>
                </c:pt>
                <c:pt idx="4">
                  <c:v>-82.150390000000002</c:v>
                </c:pt>
                <c:pt idx="5">
                  <c:v>-83.919200000000004</c:v>
                </c:pt>
                <c:pt idx="6">
                  <c:v>-81.722800000000007</c:v>
                </c:pt>
                <c:pt idx="7">
                  <c:v>-83.081500000000005</c:v>
                </c:pt>
                <c:pt idx="8">
                  <c:v>-81.78</c:v>
                </c:pt>
                <c:pt idx="9">
                  <c:v>-82.017300000000006</c:v>
                </c:pt>
                <c:pt idx="10">
                  <c:v>-82.953000000000003</c:v>
                </c:pt>
                <c:pt idx="11">
                  <c:v>-83.6</c:v>
                </c:pt>
                <c:pt idx="12">
                  <c:v>-83.562399999999997</c:v>
                </c:pt>
                <c:pt idx="13">
                  <c:v>-84.670299999999997</c:v>
                </c:pt>
                <c:pt idx="14">
                  <c:v>-85.512100000000004</c:v>
                </c:pt>
                <c:pt idx="15">
                  <c:v>-81.821700000000007</c:v>
                </c:pt>
                <c:pt idx="16">
                  <c:v>-83.45</c:v>
                </c:pt>
                <c:pt idx="17">
                  <c:v>-83.497720999999999</c:v>
                </c:pt>
                <c:pt idx="18">
                  <c:v>-84</c:v>
                </c:pt>
                <c:pt idx="19">
                  <c:v>-82.840900000000005</c:v>
                </c:pt>
                <c:pt idx="20">
                  <c:v>-84.294700000000006</c:v>
                </c:pt>
                <c:pt idx="21">
                  <c:v>-84.982299999999995</c:v>
                </c:pt>
                <c:pt idx="22">
                  <c:v>-81.633399999999995</c:v>
                </c:pt>
                <c:pt idx="23">
                  <c:v>-84.814099999999996</c:v>
                </c:pt>
              </c:numCache>
            </c:numRef>
          </c:xVal>
          <c:yVal>
            <c:numRef>
              <c:f>'LAD4'!$M$2:$M$25</c:f>
              <c:numCache>
                <c:formatCode>General</c:formatCode>
                <c:ptCount val="24"/>
                <c:pt idx="0">
                  <c:v>-82.88</c:v>
                </c:pt>
                <c:pt idx="1">
                  <c:v>-83.02</c:v>
                </c:pt>
                <c:pt idx="2">
                  <c:v>-83.5</c:v>
                </c:pt>
                <c:pt idx="3">
                  <c:v>-82.550299999999993</c:v>
                </c:pt>
                <c:pt idx="4">
                  <c:v>-82.650919000000002</c:v>
                </c:pt>
                <c:pt idx="5">
                  <c:v>-83.000500000000002</c:v>
                </c:pt>
                <c:pt idx="6">
                  <c:v>-81.289599999999993</c:v>
                </c:pt>
                <c:pt idx="7">
                  <c:v>-83.131</c:v>
                </c:pt>
                <c:pt idx="8">
                  <c:v>-82.82</c:v>
                </c:pt>
                <c:pt idx="9">
                  <c:v>-82.697748000000004</c:v>
                </c:pt>
                <c:pt idx="10">
                  <c:v>-82.324100000000001</c:v>
                </c:pt>
                <c:pt idx="11">
                  <c:v>-83.7</c:v>
                </c:pt>
                <c:pt idx="12">
                  <c:v>-83.528000000000006</c:v>
                </c:pt>
                <c:pt idx="13">
                  <c:v>-83.097800000000007</c:v>
                </c:pt>
                <c:pt idx="14">
                  <c:v>-84.206100000000006</c:v>
                </c:pt>
                <c:pt idx="15">
                  <c:v>-81.428799999999995</c:v>
                </c:pt>
                <c:pt idx="16">
                  <c:v>-83.74</c:v>
                </c:pt>
                <c:pt idx="17">
                  <c:v>-84.568133000000003</c:v>
                </c:pt>
                <c:pt idx="18">
                  <c:v>-85.1</c:v>
                </c:pt>
                <c:pt idx="19">
                  <c:v>-83.847999999999999</c:v>
                </c:pt>
                <c:pt idx="20">
                  <c:v>-85.098799999999997</c:v>
                </c:pt>
                <c:pt idx="21">
                  <c:v>-84.23</c:v>
                </c:pt>
                <c:pt idx="22">
                  <c:v>-82.769099999999995</c:v>
                </c:pt>
                <c:pt idx="23">
                  <c:v>-85.1845</c:v>
                </c:pt>
              </c:numCache>
            </c:numRef>
          </c:yVal>
          <c:smooth val="0"/>
          <c:extLst>
            <c:ext xmlns:c16="http://schemas.microsoft.com/office/drawing/2014/chart" uri="{C3380CC4-5D6E-409C-BE32-E72D297353CC}">
              <c16:uniqueId val="{00000000-7C39-42B6-9624-016616D5D514}"/>
            </c:ext>
          </c:extLst>
        </c:ser>
        <c:ser>
          <c:idx val="2"/>
          <c:order val="1"/>
          <c:tx>
            <c:v>RC LAD4 TRS BHH</c:v>
          </c:tx>
          <c:spPr>
            <a:ln w="25400" cap="rnd">
              <a:noFill/>
              <a:round/>
            </a:ln>
            <a:effectLst/>
          </c:spPr>
          <c:marker>
            <c:symbol val="circle"/>
            <c:size val="5"/>
            <c:spPr>
              <a:solidFill>
                <a:schemeClr val="accent3"/>
              </a:solidFill>
              <a:ln w="9525">
                <a:solidFill>
                  <a:schemeClr val="accent3"/>
                </a:solidFill>
              </a:ln>
              <a:effectLst/>
            </c:spPr>
          </c:marker>
          <c:xVal>
            <c:numRef>
              <c:f>'LAD4'!$D$2:$D$22</c:f>
              <c:numCache>
                <c:formatCode>General</c:formatCode>
                <c:ptCount val="21"/>
                <c:pt idx="0">
                  <c:v>-81.88</c:v>
                </c:pt>
                <c:pt idx="1">
                  <c:v>-80.41</c:v>
                </c:pt>
                <c:pt idx="2">
                  <c:v>-81.56</c:v>
                </c:pt>
                <c:pt idx="3">
                  <c:v>-82.1</c:v>
                </c:pt>
                <c:pt idx="4">
                  <c:v>-81.425899999999999</c:v>
                </c:pt>
                <c:pt idx="8">
                  <c:v>-82.56</c:v>
                </c:pt>
                <c:pt idx="9">
                  <c:v>-80.56</c:v>
                </c:pt>
                <c:pt idx="10">
                  <c:v>-82.91</c:v>
                </c:pt>
                <c:pt idx="11">
                  <c:v>-82.196899999999999</c:v>
                </c:pt>
                <c:pt idx="12">
                  <c:v>-81.400000000000006</c:v>
                </c:pt>
                <c:pt idx="16">
                  <c:v>-82.8</c:v>
                </c:pt>
                <c:pt idx="17">
                  <c:v>-81.28</c:v>
                </c:pt>
                <c:pt idx="18">
                  <c:v>-83.06</c:v>
                </c:pt>
                <c:pt idx="19">
                  <c:v>-82.9</c:v>
                </c:pt>
                <c:pt idx="20">
                  <c:v>-82.870599999999996</c:v>
                </c:pt>
              </c:numCache>
            </c:numRef>
          </c:xVal>
          <c:yVal>
            <c:numRef>
              <c:f>'LAD4'!$E$2:$E$22</c:f>
              <c:numCache>
                <c:formatCode>General</c:formatCode>
                <c:ptCount val="21"/>
                <c:pt idx="0">
                  <c:v>-82.1</c:v>
                </c:pt>
                <c:pt idx="1">
                  <c:v>-79.8</c:v>
                </c:pt>
                <c:pt idx="2">
                  <c:v>-81.650000000000006</c:v>
                </c:pt>
                <c:pt idx="3">
                  <c:v>-81</c:v>
                </c:pt>
                <c:pt idx="4">
                  <c:v>-80.883799999999994</c:v>
                </c:pt>
                <c:pt idx="8">
                  <c:v>-82.1</c:v>
                </c:pt>
                <c:pt idx="9">
                  <c:v>-80.019099999999995</c:v>
                </c:pt>
                <c:pt idx="10">
                  <c:v>-82.09</c:v>
                </c:pt>
                <c:pt idx="11">
                  <c:v>-80.489099999999993</c:v>
                </c:pt>
                <c:pt idx="12">
                  <c:v>-82.8</c:v>
                </c:pt>
                <c:pt idx="16">
                  <c:v>-83.3</c:v>
                </c:pt>
                <c:pt idx="17">
                  <c:v>-81.234499999999997</c:v>
                </c:pt>
                <c:pt idx="18">
                  <c:v>-83.44</c:v>
                </c:pt>
                <c:pt idx="19">
                  <c:v>-82.8</c:v>
                </c:pt>
                <c:pt idx="20">
                  <c:v>-82.660600000000002</c:v>
                </c:pt>
              </c:numCache>
            </c:numRef>
          </c:yVal>
          <c:smooth val="0"/>
          <c:extLst>
            <c:ext xmlns:c16="http://schemas.microsoft.com/office/drawing/2014/chart" uri="{C3380CC4-5D6E-409C-BE32-E72D297353CC}">
              <c16:uniqueId val="{00000001-7C39-42B6-9624-016616D5D514}"/>
            </c:ext>
          </c:extLst>
        </c:ser>
        <c:dLbls>
          <c:showLegendKey val="0"/>
          <c:showVal val="0"/>
          <c:showCatName val="0"/>
          <c:showSerName val="0"/>
          <c:showPercent val="0"/>
          <c:showBubbleSize val="0"/>
        </c:dLbls>
        <c:axId val="503533472"/>
        <c:axId val="503534192"/>
      </c:scatterChart>
      <c:valAx>
        <c:axId val="503533472"/>
        <c:scaling>
          <c:orientation val="minMax"/>
          <c:max val="-75"/>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4192"/>
        <c:crosses val="autoZero"/>
        <c:crossBetween val="midCat"/>
      </c:valAx>
      <c:valAx>
        <c:axId val="503534192"/>
        <c:scaling>
          <c:orientation val="minMax"/>
          <c:max val="-75"/>
          <c:min val="-9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BHHR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533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655</TotalTime>
  <Pages>4</Pages>
  <Words>440</Words>
  <Characters>2508</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Derek Skousen</dc:creator>
  <cp:keywords>3GPP</cp:keywords>
  <cp:lastModifiedBy>Derek Skousen</cp:lastModifiedBy>
  <cp:revision>21</cp:revision>
  <cp:lastPrinted>2019-04-25T01:09:00Z</cp:lastPrinted>
  <dcterms:created xsi:type="dcterms:W3CDTF">2024-05-12T02:05:00Z</dcterms:created>
  <dcterms:modified xsi:type="dcterms:W3CDTF">2024-05-12T12:59:00Z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